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498F" w14:textId="5142D697" w:rsidR="00D83660" w:rsidRPr="00013C81" w:rsidRDefault="00D83660" w:rsidP="00D83660">
      <w:pPr>
        <w:spacing w:after="160" w:line="264" w:lineRule="auto"/>
      </w:pPr>
      <w:r>
        <w:t>6 July 2018</w:t>
      </w:r>
    </w:p>
    <w:p w14:paraId="5941B4BC" w14:textId="77777777" w:rsidR="00D83660" w:rsidRPr="00013C81" w:rsidRDefault="00D83660" w:rsidP="00D83660">
      <w:pPr>
        <w:spacing w:after="160" w:line="264" w:lineRule="auto"/>
      </w:pPr>
    </w:p>
    <w:p w14:paraId="48BF7C91" w14:textId="77777777" w:rsidR="00D83660" w:rsidRDefault="00D83660" w:rsidP="00D83660">
      <w:pPr>
        <w:spacing w:after="160" w:line="264" w:lineRule="auto"/>
      </w:pPr>
      <w:r>
        <w:t>Committee Secretary</w:t>
      </w:r>
      <w:r>
        <w:br/>
      </w:r>
      <w:r w:rsidRPr="00AD71A5">
        <w:t>Select Committee into the Obesity Epidemic in Australia</w:t>
      </w:r>
      <w:r>
        <w:br/>
        <w:t>Department of the Senate</w:t>
      </w:r>
      <w:r>
        <w:br/>
        <w:t>PO Box 6100</w:t>
      </w:r>
      <w:r>
        <w:br/>
        <w:t>Parliament House</w:t>
      </w:r>
      <w:r>
        <w:br/>
        <w:t>Canberra ACT 2600</w:t>
      </w:r>
    </w:p>
    <w:p w14:paraId="751AB292" w14:textId="77777777" w:rsidR="00D83660" w:rsidRPr="00013C81" w:rsidRDefault="00D83660" w:rsidP="00D83660">
      <w:pPr>
        <w:spacing w:after="160" w:line="264" w:lineRule="auto"/>
      </w:pPr>
    </w:p>
    <w:p w14:paraId="1C417A76" w14:textId="4545DB41" w:rsidR="00D83660" w:rsidRPr="00013C81" w:rsidRDefault="00D83660" w:rsidP="00D83660">
      <w:pPr>
        <w:spacing w:after="240" w:line="264" w:lineRule="auto"/>
      </w:pPr>
      <w:r w:rsidRPr="00013C81">
        <w:t xml:space="preserve">Dear </w:t>
      </w:r>
      <w:r>
        <w:t>Committee Secretary</w:t>
      </w:r>
      <w:r w:rsidR="002432B5">
        <w:t>,</w:t>
      </w:r>
    </w:p>
    <w:p w14:paraId="1703B83E" w14:textId="77777777" w:rsidR="00D83660" w:rsidRDefault="00D83660" w:rsidP="00D83660">
      <w:pPr>
        <w:spacing w:after="240" w:line="264" w:lineRule="auto"/>
        <w:rPr>
          <w:rFonts w:cstheme="minorHAnsi"/>
          <w:b/>
        </w:rPr>
      </w:pPr>
      <w:r>
        <w:rPr>
          <w:rFonts w:cstheme="minorHAnsi"/>
          <w:b/>
        </w:rPr>
        <w:t xml:space="preserve">RE: VicHealth submission to the Senate Select Committee into the Obesity Epidemic in Australia </w:t>
      </w:r>
    </w:p>
    <w:p w14:paraId="04BFDEEB" w14:textId="77777777" w:rsidR="00D83660" w:rsidRDefault="00D83660" w:rsidP="00D83660">
      <w:pPr>
        <w:spacing w:after="160" w:line="264" w:lineRule="auto"/>
      </w:pPr>
      <w:r w:rsidRPr="00D609BB">
        <w:t xml:space="preserve">The Victorian Health Promotion Foundation (VicHealth) </w:t>
      </w:r>
      <w:r>
        <w:t xml:space="preserve">is pleased to respond to the </w:t>
      </w:r>
      <w:r w:rsidRPr="008E64B3">
        <w:t>Senate</w:t>
      </w:r>
      <w:r>
        <w:t xml:space="preserve"> </w:t>
      </w:r>
      <w:r w:rsidRPr="00AD71A5">
        <w:t>Select Committee into the Obesity Epidemic in Australia</w:t>
      </w:r>
      <w:r>
        <w:t>.</w:t>
      </w:r>
    </w:p>
    <w:p w14:paraId="4FD7A048" w14:textId="734B1512" w:rsidR="00D83660" w:rsidRDefault="00D83660" w:rsidP="00D83660">
      <w:pPr>
        <w:spacing w:after="160" w:line="264" w:lineRule="auto"/>
      </w:pPr>
      <w:r>
        <w:t>The Australian Institute of Health and Welfare has recently described obesity as ‘a major public health issue in Australia’, adding that ‘the growing obesity trend has costly impacts for the individual and for the Australian economy and health care system’.</w:t>
      </w:r>
      <w:bookmarkStart w:id="0" w:name="_Ref517962940"/>
      <w:r w:rsidR="002432B5" w:rsidRPr="00D14C40">
        <w:rPr>
          <w:sz w:val="20"/>
          <w:szCs w:val="20"/>
          <w:vertAlign w:val="superscript"/>
        </w:rPr>
        <w:endnoteReference w:id="1"/>
      </w:r>
      <w:bookmarkEnd w:id="0"/>
      <w:r w:rsidR="002432B5">
        <w:t xml:space="preserve"> </w:t>
      </w:r>
      <w:r>
        <w:t>VicHealth agrees with this view.</w:t>
      </w:r>
    </w:p>
    <w:p w14:paraId="1E2CCBDD" w14:textId="6D3B7A40" w:rsidR="00D83660" w:rsidRDefault="00D83660" w:rsidP="00D83660">
      <w:pPr>
        <w:spacing w:after="240" w:line="264" w:lineRule="auto"/>
      </w:pPr>
      <w:r>
        <w:t xml:space="preserve">The Senate Select Committee </w:t>
      </w:r>
      <w:r w:rsidRPr="00322E00">
        <w:t xml:space="preserve">into the Obesity Epidemic in Australia represents an opportunity for </w:t>
      </w:r>
      <w:r w:rsidR="00E12315">
        <w:t xml:space="preserve">the Senate </w:t>
      </w:r>
      <w:r>
        <w:t xml:space="preserve">to </w:t>
      </w:r>
      <w:r w:rsidR="008E1138">
        <w:t xml:space="preserve">assess the extent of the problem, understand its causes, and then lay out a </w:t>
      </w:r>
      <w:r>
        <w:t xml:space="preserve">decisive </w:t>
      </w:r>
      <w:r w:rsidR="00EA3355">
        <w:t>plan for action</w:t>
      </w:r>
      <w:r>
        <w:t xml:space="preserve">. And despite the enormity of the problem there is strong consensus among Australia’s public health and medical community about what needs to be done. This </w:t>
      </w:r>
      <w:r w:rsidR="00676284">
        <w:t xml:space="preserve">is </w:t>
      </w:r>
      <w:r>
        <w:t>discussed later in VicHealth’s submission.</w:t>
      </w:r>
    </w:p>
    <w:p w14:paraId="3795B1BB" w14:textId="77777777" w:rsidR="00D83660" w:rsidRPr="00090E4A" w:rsidRDefault="00D83660" w:rsidP="00D83660">
      <w:pPr>
        <w:spacing w:line="264" w:lineRule="auto"/>
        <w:rPr>
          <w:b/>
        </w:rPr>
      </w:pPr>
      <w:r w:rsidRPr="00090E4A">
        <w:rPr>
          <w:b/>
        </w:rPr>
        <w:t>Obesity: key facts and statistics</w:t>
      </w:r>
    </w:p>
    <w:p w14:paraId="04D0219D" w14:textId="2FB5A1A7" w:rsidR="00D83660" w:rsidRDefault="00D83660" w:rsidP="00D83660">
      <w:pPr>
        <w:spacing w:after="160" w:line="264" w:lineRule="auto"/>
      </w:pPr>
      <w:r>
        <w:t xml:space="preserve">In its recently released report on Australia’s health </w:t>
      </w:r>
      <w:r w:rsidRPr="00E61CF4">
        <w:rPr>
          <w:i/>
        </w:rPr>
        <w:t>(</w:t>
      </w:r>
      <w:r w:rsidRPr="00090E4A">
        <w:rPr>
          <w:i/>
        </w:rPr>
        <w:t>Australia’s Health 2018</w:t>
      </w:r>
      <w:r>
        <w:rPr>
          <w:i/>
        </w:rPr>
        <w:t>)</w:t>
      </w:r>
      <w:r w:rsidRPr="00E61CF4">
        <w:t>,</w:t>
      </w:r>
      <w:r>
        <w:t xml:space="preserve"> the Australian Institute of Health and Welfare noted </w:t>
      </w:r>
      <w:r w:rsidRPr="00313A4A">
        <w:t>that:</w:t>
      </w:r>
      <w:r w:rsidRPr="0017588C">
        <w:rPr>
          <w:sz w:val="20"/>
          <w:szCs w:val="20"/>
        </w:rPr>
        <w:fldChar w:fldCharType="begin"/>
      </w:r>
      <w:r w:rsidRPr="0017588C">
        <w:rPr>
          <w:sz w:val="20"/>
          <w:szCs w:val="20"/>
        </w:rPr>
        <w:instrText xml:space="preserve"> NOTEREF _Ref517962940 \f \h  \* MERGEFORMAT </w:instrText>
      </w:r>
      <w:r w:rsidRPr="0017588C">
        <w:rPr>
          <w:sz w:val="20"/>
          <w:szCs w:val="20"/>
        </w:rPr>
      </w:r>
      <w:r w:rsidRPr="0017588C">
        <w:rPr>
          <w:sz w:val="20"/>
          <w:szCs w:val="20"/>
        </w:rPr>
        <w:fldChar w:fldCharType="separate"/>
      </w:r>
      <w:r w:rsidR="00464C2A" w:rsidRPr="0017588C">
        <w:rPr>
          <w:rStyle w:val="FootnoteReference"/>
          <w:sz w:val="20"/>
          <w:szCs w:val="20"/>
        </w:rPr>
        <w:t>1</w:t>
      </w:r>
      <w:r w:rsidRPr="0017588C">
        <w:rPr>
          <w:sz w:val="20"/>
          <w:szCs w:val="20"/>
        </w:rPr>
        <w:fldChar w:fldCharType="end"/>
      </w:r>
    </w:p>
    <w:p w14:paraId="3FA62CDF" w14:textId="77777777" w:rsidR="00D83660" w:rsidRDefault="00D83660" w:rsidP="00EA3355">
      <w:pPr>
        <w:pStyle w:val="ListParagraph"/>
        <w:numPr>
          <w:ilvl w:val="0"/>
          <w:numId w:val="9"/>
        </w:numPr>
        <w:spacing w:after="40" w:line="264" w:lineRule="auto"/>
        <w:ind w:left="357" w:hanging="357"/>
        <w:contextualSpacing w:val="0"/>
      </w:pPr>
      <w:r>
        <w:t>Almost two-thirds (63%) of Australia adults were overweight or obese in 2015. The rate of severe obesity (defined as those with a body mass index of 35 kg/m</w:t>
      </w:r>
      <w:r w:rsidRPr="00313A4A">
        <w:rPr>
          <w:vertAlign w:val="superscript"/>
        </w:rPr>
        <w:t>2</w:t>
      </w:r>
      <w:r>
        <w:t xml:space="preserve">) almost doubled between 1995 and 2014-15. </w:t>
      </w:r>
    </w:p>
    <w:p w14:paraId="651440A0" w14:textId="6FE0B22F" w:rsidR="00D83660" w:rsidRDefault="00D83660" w:rsidP="00EA3355">
      <w:pPr>
        <w:pStyle w:val="ListParagraph"/>
        <w:numPr>
          <w:ilvl w:val="0"/>
          <w:numId w:val="9"/>
        </w:numPr>
        <w:spacing w:after="40" w:line="264" w:lineRule="auto"/>
        <w:ind w:left="357" w:hanging="357"/>
        <w:contextualSpacing w:val="0"/>
      </w:pPr>
      <w:r>
        <w:t>Twenty per cent (20%) of children aged 2-4 years were overweight or obese in 2015 and more than one-in-four (28%) children 5-17 years were overweight or obese.</w:t>
      </w:r>
    </w:p>
    <w:p w14:paraId="55001D41" w14:textId="142615C6" w:rsidR="00D83660" w:rsidRDefault="00D83660" w:rsidP="00676284">
      <w:pPr>
        <w:pStyle w:val="ListParagraph"/>
        <w:numPr>
          <w:ilvl w:val="0"/>
          <w:numId w:val="9"/>
        </w:numPr>
        <w:spacing w:after="240" w:line="264" w:lineRule="auto"/>
        <w:ind w:left="357" w:hanging="357"/>
        <w:contextualSpacing w:val="0"/>
      </w:pPr>
      <w:r>
        <w:t>In 2012-13, Indigenous people aged over 18 years were 1.2 times as likely to be overweight or obese as non-Indigenous people and 1.6 times as likely to be obese.</w:t>
      </w:r>
    </w:p>
    <w:p w14:paraId="006F2C5F" w14:textId="41BDEB5E" w:rsidR="00D83660" w:rsidRDefault="00D83660" w:rsidP="00D83660">
      <w:pPr>
        <w:spacing w:after="120" w:line="264" w:lineRule="auto"/>
      </w:pPr>
      <w:r>
        <w:t xml:space="preserve">Overweight and obesity follows a socioeconomic gradient and is </w:t>
      </w:r>
      <w:r w:rsidR="00676284">
        <w:t xml:space="preserve">also </w:t>
      </w:r>
      <w:r>
        <w:t xml:space="preserve">associated with the geographical location where a person lives. Again, </w:t>
      </w:r>
      <w:r w:rsidRPr="00090E4A">
        <w:rPr>
          <w:i/>
        </w:rPr>
        <w:t>Australia’s Health 2018</w:t>
      </w:r>
      <w:r>
        <w:rPr>
          <w:i/>
        </w:rPr>
        <w:t xml:space="preserve"> </w:t>
      </w:r>
      <w:r w:rsidRPr="00313A4A">
        <w:t>reported that:</w:t>
      </w:r>
      <w:r w:rsidRPr="0017588C">
        <w:rPr>
          <w:sz w:val="20"/>
          <w:szCs w:val="20"/>
        </w:rPr>
        <w:fldChar w:fldCharType="begin"/>
      </w:r>
      <w:r w:rsidRPr="0017588C">
        <w:rPr>
          <w:sz w:val="20"/>
          <w:szCs w:val="20"/>
        </w:rPr>
        <w:instrText xml:space="preserve"> NOTEREF _Ref517962940 \f \h  \* MERGEFORMAT </w:instrText>
      </w:r>
      <w:r w:rsidRPr="0017588C">
        <w:rPr>
          <w:sz w:val="20"/>
          <w:szCs w:val="20"/>
        </w:rPr>
      </w:r>
      <w:r w:rsidRPr="0017588C">
        <w:rPr>
          <w:sz w:val="20"/>
          <w:szCs w:val="20"/>
        </w:rPr>
        <w:fldChar w:fldCharType="separate"/>
      </w:r>
      <w:r w:rsidR="00464C2A" w:rsidRPr="0017588C">
        <w:rPr>
          <w:rStyle w:val="FootnoteReference"/>
          <w:sz w:val="20"/>
          <w:szCs w:val="20"/>
        </w:rPr>
        <w:t>1</w:t>
      </w:r>
      <w:r w:rsidRPr="0017588C">
        <w:rPr>
          <w:sz w:val="20"/>
          <w:szCs w:val="20"/>
        </w:rPr>
        <w:fldChar w:fldCharType="end"/>
      </w:r>
    </w:p>
    <w:p w14:paraId="4405DF40" w14:textId="18BEDF3D" w:rsidR="00D83660" w:rsidRDefault="00D83660" w:rsidP="00EA3355">
      <w:pPr>
        <w:pStyle w:val="ListParagraph"/>
        <w:numPr>
          <w:ilvl w:val="0"/>
          <w:numId w:val="9"/>
        </w:numPr>
        <w:spacing w:after="40" w:line="264" w:lineRule="auto"/>
        <w:contextualSpacing w:val="0"/>
      </w:pPr>
      <w:r>
        <w:lastRenderedPageBreak/>
        <w:t xml:space="preserve">Adults in the lowest socioeconomic area were </w:t>
      </w:r>
      <w:r w:rsidR="00676284">
        <w:t xml:space="preserve">more </w:t>
      </w:r>
      <w:r>
        <w:t xml:space="preserve">likely to be obese (34%) </w:t>
      </w:r>
      <w:r w:rsidR="00676284">
        <w:t xml:space="preserve">than </w:t>
      </w:r>
      <w:r>
        <w:t>adults in the highest socioeconomic area (22%).</w:t>
      </w:r>
    </w:p>
    <w:p w14:paraId="30527092" w14:textId="77777777" w:rsidR="00D83660" w:rsidRDefault="00D83660" w:rsidP="00EA3355">
      <w:pPr>
        <w:pStyle w:val="ListParagraph"/>
        <w:numPr>
          <w:ilvl w:val="0"/>
          <w:numId w:val="9"/>
        </w:numPr>
        <w:spacing w:after="40" w:line="264" w:lineRule="auto"/>
        <w:contextualSpacing w:val="0"/>
      </w:pPr>
      <w:r>
        <w:t>One-third (33%) of boys and 38% of girls aged 2-17 years in the lowest socioeconomic area were overweight or obese compared to 22% of boys and 24% of girls in the highest socioeconomic area.</w:t>
      </w:r>
    </w:p>
    <w:p w14:paraId="65B55991" w14:textId="1C9F0928" w:rsidR="00D83660" w:rsidRDefault="00D83660" w:rsidP="00EA3355">
      <w:pPr>
        <w:pStyle w:val="ListParagraph"/>
        <w:numPr>
          <w:ilvl w:val="0"/>
          <w:numId w:val="9"/>
        </w:numPr>
        <w:spacing w:after="40" w:line="264" w:lineRule="auto"/>
        <w:contextualSpacing w:val="0"/>
      </w:pPr>
      <w:r>
        <w:t xml:space="preserve">Adults living in the major cities were </w:t>
      </w:r>
      <w:r w:rsidR="00676284">
        <w:t>most</w:t>
      </w:r>
      <w:r>
        <w:t xml:space="preserve"> likely to have a body weight in the normal weight range compared to adults living in inner regional, outer regional and remote locations. </w:t>
      </w:r>
    </w:p>
    <w:p w14:paraId="793A0948" w14:textId="77777777" w:rsidR="00D83660" w:rsidRDefault="00D83660" w:rsidP="00EA3355">
      <w:pPr>
        <w:pStyle w:val="ListParagraph"/>
        <w:numPr>
          <w:ilvl w:val="0"/>
          <w:numId w:val="9"/>
        </w:numPr>
        <w:spacing w:after="240" w:line="264" w:lineRule="auto"/>
        <w:contextualSpacing w:val="0"/>
      </w:pPr>
      <w:r>
        <w:t>Boys aged 2-17 years living in outer regional and remote areas were 1.3 times as likely to be overweight or obese as boys living major cities. Similarly, overweight or obesity was 1.5 times as high for girls in outer regional and remote areas as girls in major cities.</w:t>
      </w:r>
    </w:p>
    <w:p w14:paraId="428307CA" w14:textId="77777777" w:rsidR="00D83660" w:rsidRPr="005F71BA" w:rsidRDefault="00D83660" w:rsidP="00D83660">
      <w:pPr>
        <w:spacing w:line="264" w:lineRule="auto"/>
        <w:rPr>
          <w:b/>
        </w:rPr>
      </w:pPr>
      <w:r>
        <w:rPr>
          <w:b/>
        </w:rPr>
        <w:t>Recommendations for obesity prevention</w:t>
      </w:r>
    </w:p>
    <w:p w14:paraId="37CEBB4E" w14:textId="1C4A19F2" w:rsidR="002432B5" w:rsidRDefault="00EA3355" w:rsidP="00D83660">
      <w:pPr>
        <w:spacing w:after="120" w:line="264" w:lineRule="auto"/>
      </w:pPr>
      <w:r>
        <w:t>S</w:t>
      </w:r>
      <w:r w:rsidR="00D83660">
        <w:t xml:space="preserve">everal factors explain why so many Australian children and adults are overweight or obese. Professor Boyd Swinburn, who led the development of </w:t>
      </w:r>
      <w:r w:rsidR="00D83660" w:rsidRPr="00FD2301">
        <w:t>The Royal Australasian College of Physicians’ Position Statement on Obesity has noted:</w:t>
      </w:r>
      <w:r w:rsidR="002432B5" w:rsidRPr="003E7553">
        <w:rPr>
          <w:rStyle w:val="EndnoteReference"/>
          <w:szCs w:val="20"/>
        </w:rPr>
        <w:endnoteReference w:id="2"/>
      </w:r>
    </w:p>
    <w:p w14:paraId="10F480E5" w14:textId="36B930D3" w:rsidR="00D83660" w:rsidRPr="00FD2301" w:rsidRDefault="00D83660" w:rsidP="00D83660">
      <w:pPr>
        <w:spacing w:after="160" w:line="264" w:lineRule="auto"/>
        <w:ind w:left="720"/>
        <w:rPr>
          <w:i/>
        </w:rPr>
      </w:pPr>
      <w:r w:rsidRPr="00FD2301">
        <w:rPr>
          <w:i/>
        </w:rPr>
        <w:t>“We need to recognise obesity as a systemic and societal problem. It’s not simply a matter of personal choice and responsibility as it is often framed. The underlying drivers of the obesity health crisis are the pollical, commercial, economic, and social systems that create the ‘obesogenic environment’ which promote the unhealthy weight gain.”</w:t>
      </w:r>
    </w:p>
    <w:p w14:paraId="11242B6E" w14:textId="6B145198" w:rsidR="004153CD" w:rsidRDefault="00D83660" w:rsidP="00D83660">
      <w:pPr>
        <w:spacing w:after="160" w:line="264" w:lineRule="auto"/>
      </w:pPr>
      <w:r>
        <w:t xml:space="preserve">For this reason, any response to tackle obesity must </w:t>
      </w:r>
      <w:r w:rsidR="004153CD">
        <w:t xml:space="preserve">ensure </w:t>
      </w:r>
      <w:r w:rsidR="00676284">
        <w:t xml:space="preserve">that the </w:t>
      </w:r>
      <w:r w:rsidR="004153CD">
        <w:t>underlying causes of the problem</w:t>
      </w:r>
      <w:r w:rsidR="00676284">
        <w:t>, including the role of the food industry,</w:t>
      </w:r>
      <w:bookmarkStart w:id="1" w:name="_Ref518310198"/>
      <w:r w:rsidR="00676284">
        <w:rPr>
          <w:rStyle w:val="EndnoteReference"/>
        </w:rPr>
        <w:endnoteReference w:id="3"/>
      </w:r>
      <w:bookmarkEnd w:id="1"/>
      <w:r w:rsidR="00676284">
        <w:t xml:space="preserve"> </w:t>
      </w:r>
      <w:r w:rsidR="004153CD">
        <w:t>are fully addressed</w:t>
      </w:r>
      <w:r>
        <w:t>.</w:t>
      </w:r>
      <w:r w:rsidR="00676284">
        <w:t xml:space="preserve"> T</w:t>
      </w:r>
      <w:r>
        <w:t xml:space="preserve">he good news is that </w:t>
      </w:r>
      <w:r w:rsidRPr="00CA0D04">
        <w:t xml:space="preserve">Australia </w:t>
      </w:r>
      <w:r w:rsidR="004153CD">
        <w:t xml:space="preserve">has a plan for what needs to be done. This is outlined </w:t>
      </w:r>
      <w:r>
        <w:t xml:space="preserve">in </w:t>
      </w:r>
      <w:hyperlink r:id="rId8" w:history="1">
        <w:r w:rsidRPr="00CA0D04">
          <w:rPr>
            <w:rStyle w:val="Hyperlink"/>
          </w:rPr>
          <w:t>Tipping the Scales</w:t>
        </w:r>
      </w:hyperlink>
      <w:r w:rsidR="004153CD">
        <w:t xml:space="preserve">, </w:t>
      </w:r>
      <w:r w:rsidR="00702D94">
        <w:t xml:space="preserve">which </w:t>
      </w:r>
      <w:r w:rsidR="00464C2A">
        <w:t xml:space="preserve">should </w:t>
      </w:r>
      <w:r w:rsidR="00702D94">
        <w:t xml:space="preserve">form the basis of </w:t>
      </w:r>
      <w:r w:rsidR="004153CD">
        <w:t>a national obesity prevention plan</w:t>
      </w:r>
      <w:r w:rsidRPr="00CA0D04">
        <w:t>.</w:t>
      </w:r>
      <w:r w:rsidR="002432B5" w:rsidRPr="003E7553">
        <w:rPr>
          <w:rStyle w:val="EndnoteReference"/>
          <w:szCs w:val="20"/>
        </w:rPr>
        <w:endnoteReference w:id="4"/>
      </w:r>
    </w:p>
    <w:p w14:paraId="4B2584F2" w14:textId="078AE248" w:rsidR="00D83660" w:rsidRDefault="00D83660" w:rsidP="00D83660">
      <w:pPr>
        <w:spacing w:after="160" w:line="264" w:lineRule="auto"/>
      </w:pPr>
      <w:r>
        <w:t xml:space="preserve">VicHealth recommends the </w:t>
      </w:r>
      <w:r w:rsidRPr="00CA0D04">
        <w:t>Senate Select Committee</w:t>
      </w:r>
      <w:r>
        <w:t xml:space="preserve"> </w:t>
      </w:r>
      <w:r w:rsidRPr="00D14C40">
        <w:t>into the Obesity Epidemic in Australia</w:t>
      </w:r>
      <w:r>
        <w:t xml:space="preserve"> endorses the eight recommendations to prevent obesity outlined in </w:t>
      </w:r>
      <w:hyperlink r:id="rId9" w:history="1">
        <w:r w:rsidRPr="00CA0D04">
          <w:rPr>
            <w:rStyle w:val="Hyperlink"/>
          </w:rPr>
          <w:t>Tipping the Scales</w:t>
        </w:r>
      </w:hyperlink>
      <w:r>
        <w:t xml:space="preserve">. </w:t>
      </w:r>
      <w:r w:rsidR="00702D94">
        <w:t xml:space="preserve">Those </w:t>
      </w:r>
      <w:r>
        <w:t>recommendations are:</w:t>
      </w:r>
    </w:p>
    <w:p w14:paraId="796A065C" w14:textId="77777777" w:rsidR="00D83660" w:rsidRPr="00AB225E" w:rsidRDefault="00D83660" w:rsidP="004153CD">
      <w:pPr>
        <w:pStyle w:val="ListParagraph"/>
        <w:numPr>
          <w:ilvl w:val="0"/>
          <w:numId w:val="10"/>
        </w:numPr>
        <w:spacing w:after="40" w:line="264" w:lineRule="auto"/>
        <w:ind w:left="357" w:hanging="357"/>
        <w:contextualSpacing w:val="0"/>
      </w:pPr>
      <w:r>
        <w:t>Legislate</w:t>
      </w:r>
      <w:r w:rsidRPr="00AB225E">
        <w:t xml:space="preserve"> time-based restrictions on exposure of children (under 16 years of age) to unhealthy food and drink marketing on free-to-air television up</w:t>
      </w:r>
      <w:r>
        <w:t xml:space="preserve"> until 9.</w:t>
      </w:r>
      <w:r w:rsidRPr="00AB225E">
        <w:t>30pm.</w:t>
      </w:r>
    </w:p>
    <w:p w14:paraId="7382FE71" w14:textId="77777777" w:rsidR="00D83660" w:rsidRPr="00AB225E" w:rsidRDefault="00D83660" w:rsidP="004153CD">
      <w:pPr>
        <w:pStyle w:val="ListParagraph"/>
        <w:numPr>
          <w:ilvl w:val="0"/>
          <w:numId w:val="10"/>
        </w:numPr>
        <w:spacing w:after="40" w:line="264" w:lineRule="auto"/>
        <w:ind w:left="357" w:hanging="357"/>
        <w:contextualSpacing w:val="0"/>
      </w:pPr>
      <w:r>
        <w:t>Set</w:t>
      </w:r>
      <w:r w:rsidRPr="00AB225E">
        <w:t xml:space="preserve"> clear reformulation targets for food manufacturers, retailers and caterers with established time periods and regulation to assist compliance if not met.</w:t>
      </w:r>
    </w:p>
    <w:p w14:paraId="03681B2F" w14:textId="77777777" w:rsidR="00D83660" w:rsidRPr="00AB225E" w:rsidRDefault="00D83660" w:rsidP="004153CD">
      <w:pPr>
        <w:pStyle w:val="ListParagraph"/>
        <w:numPr>
          <w:ilvl w:val="0"/>
          <w:numId w:val="10"/>
        </w:numPr>
        <w:spacing w:after="40" w:line="264" w:lineRule="auto"/>
        <w:ind w:left="357" w:hanging="357"/>
        <w:contextualSpacing w:val="0"/>
      </w:pPr>
      <w:r>
        <w:t>I</w:t>
      </w:r>
      <w:r w:rsidRPr="00AB225E">
        <w:t xml:space="preserve">mprove the Health Star Rating System, and make </w:t>
      </w:r>
      <w:r>
        <w:t xml:space="preserve">it </w:t>
      </w:r>
      <w:r w:rsidRPr="00AB225E">
        <w:t>mandatory by July 2019.</w:t>
      </w:r>
    </w:p>
    <w:p w14:paraId="4BE77D5D" w14:textId="77777777" w:rsidR="00D83660" w:rsidRPr="00AB225E" w:rsidRDefault="00D83660" w:rsidP="004153CD">
      <w:pPr>
        <w:pStyle w:val="ListParagraph"/>
        <w:numPr>
          <w:ilvl w:val="0"/>
          <w:numId w:val="10"/>
        </w:numPr>
        <w:spacing w:after="40" w:line="264" w:lineRule="auto"/>
        <w:ind w:left="357" w:hanging="357"/>
        <w:contextualSpacing w:val="0"/>
      </w:pPr>
      <w:r w:rsidRPr="00AB225E">
        <w:t>Develop and fund a comprehensive national active travel strategy to promote walking, cycling and use of public transport.</w:t>
      </w:r>
    </w:p>
    <w:p w14:paraId="0AC147D5" w14:textId="77777777" w:rsidR="00D83660" w:rsidRPr="00AB225E" w:rsidRDefault="00D83660" w:rsidP="004153CD">
      <w:pPr>
        <w:pStyle w:val="ListParagraph"/>
        <w:numPr>
          <w:ilvl w:val="0"/>
          <w:numId w:val="10"/>
        </w:numPr>
        <w:spacing w:after="40" w:line="264" w:lineRule="auto"/>
        <w:ind w:left="357" w:hanging="357"/>
        <w:contextualSpacing w:val="0"/>
      </w:pPr>
      <w:r w:rsidRPr="00AB225E">
        <w:t>Fund high-impact, sustained public education campaigns to improve attitudes and behaviours around diet, physical activity and sedentary behaviour.</w:t>
      </w:r>
    </w:p>
    <w:p w14:paraId="33ED7133" w14:textId="77777777" w:rsidR="00D83660" w:rsidRPr="00AB225E" w:rsidRDefault="00D83660" w:rsidP="004153CD">
      <w:pPr>
        <w:pStyle w:val="ListParagraph"/>
        <w:numPr>
          <w:ilvl w:val="0"/>
          <w:numId w:val="10"/>
        </w:numPr>
        <w:spacing w:after="40" w:line="264" w:lineRule="auto"/>
        <w:ind w:left="357" w:hanging="357"/>
        <w:contextualSpacing w:val="0"/>
      </w:pPr>
      <w:r w:rsidRPr="00AB225E">
        <w:t>Plac</w:t>
      </w:r>
      <w:r>
        <w:t>e</w:t>
      </w:r>
      <w:r w:rsidRPr="00AB225E">
        <w:t xml:space="preserve"> a health levy on sugary drinks to increase the price by 20%.</w:t>
      </w:r>
    </w:p>
    <w:p w14:paraId="371C7B8F" w14:textId="77777777" w:rsidR="00D83660" w:rsidRPr="00AB225E" w:rsidRDefault="00D83660" w:rsidP="004153CD">
      <w:pPr>
        <w:pStyle w:val="ListParagraph"/>
        <w:numPr>
          <w:ilvl w:val="0"/>
          <w:numId w:val="10"/>
        </w:numPr>
        <w:spacing w:after="40" w:line="264" w:lineRule="auto"/>
        <w:ind w:left="357" w:hanging="357"/>
        <w:contextualSpacing w:val="0"/>
      </w:pPr>
      <w:r w:rsidRPr="00AB225E">
        <w:t>Establish obesity prevention as a national priority with a national taskforce, sustained funding, regular and ongoing monitoring and evaluation of key measures and regular reporting around targets.</w:t>
      </w:r>
    </w:p>
    <w:p w14:paraId="5ABCE21B" w14:textId="77777777" w:rsidR="00D83660" w:rsidRDefault="00D83660" w:rsidP="004153CD">
      <w:pPr>
        <w:pStyle w:val="ListParagraph"/>
        <w:numPr>
          <w:ilvl w:val="0"/>
          <w:numId w:val="10"/>
        </w:numPr>
        <w:spacing w:after="240" w:line="264" w:lineRule="auto"/>
        <w:ind w:left="357" w:hanging="357"/>
        <w:contextualSpacing w:val="0"/>
      </w:pPr>
      <w:r w:rsidRPr="00AB225E">
        <w:lastRenderedPageBreak/>
        <w:t>Develop, support, updat</w:t>
      </w:r>
      <w:r>
        <w:t>e</w:t>
      </w:r>
      <w:r w:rsidRPr="00AB225E">
        <w:t xml:space="preserve"> and monitor comprehensive and consistent diet, physical activity and weight management national guidelines.</w:t>
      </w:r>
    </w:p>
    <w:p w14:paraId="17530BE3" w14:textId="136ACF73" w:rsidR="00560F1E" w:rsidRDefault="003E7553" w:rsidP="002432B5">
      <w:pPr>
        <w:spacing w:after="120" w:line="264" w:lineRule="auto"/>
      </w:pPr>
      <w:r>
        <w:t xml:space="preserve">As well as the support from Australia’s public health and medical community, recommendations </w:t>
      </w:r>
      <w:r w:rsidR="002D652D">
        <w:t xml:space="preserve">in </w:t>
      </w:r>
      <w:hyperlink r:id="rId10" w:history="1">
        <w:r w:rsidR="002D652D" w:rsidRPr="00CA0D04">
          <w:rPr>
            <w:rStyle w:val="Hyperlink"/>
          </w:rPr>
          <w:t>Tipping the Scales</w:t>
        </w:r>
      </w:hyperlink>
      <w:r w:rsidR="002D652D">
        <w:t xml:space="preserve"> </w:t>
      </w:r>
      <w:r>
        <w:t xml:space="preserve">are </w:t>
      </w:r>
      <w:r w:rsidR="002D652D">
        <w:t xml:space="preserve">also </w:t>
      </w:r>
      <w:r>
        <w:t xml:space="preserve">favoured by the community. In 2015, </w:t>
      </w:r>
      <w:r w:rsidR="003474B8">
        <w:t xml:space="preserve">VicHealth </w:t>
      </w:r>
      <w:r>
        <w:t xml:space="preserve">convened </w:t>
      </w:r>
      <w:hyperlink r:id="rId11" w:history="1">
        <w:r w:rsidRPr="00262941">
          <w:rPr>
            <w:rStyle w:val="Hyperlink"/>
          </w:rPr>
          <w:t>Victoria’s Citizens’ Jury on Obesity</w:t>
        </w:r>
      </w:hyperlink>
      <w:r w:rsidR="00560F1E">
        <w:t xml:space="preserve">, </w:t>
      </w:r>
      <w:r w:rsidR="003F5BD2">
        <w:t xml:space="preserve">which was </w:t>
      </w:r>
      <w:r w:rsidR="00560F1E">
        <w:t>‘designed to empower everyday citizens to identify solutions and initiate change to stem the obesity epidemic’.</w:t>
      </w:r>
      <w:r w:rsidR="002D652D" w:rsidRPr="003E7553">
        <w:rPr>
          <w:rStyle w:val="EndnoteReference"/>
          <w:szCs w:val="20"/>
        </w:rPr>
        <w:endnoteReference w:id="5"/>
      </w:r>
      <w:r w:rsidR="00560F1E">
        <w:t xml:space="preserve"> </w:t>
      </w:r>
      <w:r w:rsidR="003F5BD2">
        <w:t xml:space="preserve">As part of the process, 100 </w:t>
      </w:r>
      <w:r w:rsidR="002D652D">
        <w:t xml:space="preserve">everyday </w:t>
      </w:r>
      <w:r>
        <w:t xml:space="preserve">Victorians </w:t>
      </w:r>
      <w:r w:rsidR="003F5BD2">
        <w:t xml:space="preserve">were brought together </w:t>
      </w:r>
      <w:r>
        <w:t xml:space="preserve">to consider the following question: </w:t>
      </w:r>
      <w:r w:rsidRPr="00902678">
        <w:rPr>
          <w:i/>
        </w:rPr>
        <w:t>‘We have a</w:t>
      </w:r>
      <w:r>
        <w:rPr>
          <w:i/>
        </w:rPr>
        <w:t xml:space="preserve"> problem with </w:t>
      </w:r>
      <w:r w:rsidRPr="00902678">
        <w:rPr>
          <w:i/>
        </w:rPr>
        <w:t>obesity</w:t>
      </w:r>
      <w:r>
        <w:rPr>
          <w:i/>
        </w:rPr>
        <w:t xml:space="preserve">. </w:t>
      </w:r>
      <w:r w:rsidRPr="00902678">
        <w:rPr>
          <w:i/>
        </w:rPr>
        <w:t>How can we make it easier to eat better?</w:t>
      </w:r>
      <w:r>
        <w:rPr>
          <w:i/>
        </w:rPr>
        <w:t>’</w:t>
      </w:r>
      <w:r w:rsidRPr="009D630B">
        <w:t>.</w:t>
      </w:r>
      <w:r w:rsidR="002432B5">
        <w:t xml:space="preserve"> </w:t>
      </w:r>
      <w:r w:rsidR="002D652D">
        <w:t xml:space="preserve">After receiving 64 submissions and hearing evidence from experts, the jury </w:t>
      </w:r>
      <w:r w:rsidR="00C43D1E">
        <w:t xml:space="preserve">made 20 recommendations </w:t>
      </w:r>
      <w:r w:rsidR="002D652D">
        <w:t xml:space="preserve">to address obesity. Among those consistent with </w:t>
      </w:r>
      <w:hyperlink r:id="rId12" w:history="1">
        <w:r w:rsidR="00560F1E" w:rsidRPr="00CA0D04">
          <w:rPr>
            <w:rStyle w:val="Hyperlink"/>
          </w:rPr>
          <w:t>Tipping the Scales</w:t>
        </w:r>
      </w:hyperlink>
      <w:r w:rsidR="002D652D">
        <w:t xml:space="preserve"> were</w:t>
      </w:r>
      <w:r w:rsidR="00560F1E">
        <w:t>:</w:t>
      </w:r>
    </w:p>
    <w:p w14:paraId="626B55C9" w14:textId="58AF2E40" w:rsidR="00560F1E" w:rsidRDefault="00560F1E" w:rsidP="003F5BD2">
      <w:pPr>
        <w:pStyle w:val="ListParagraph"/>
        <w:numPr>
          <w:ilvl w:val="0"/>
          <w:numId w:val="9"/>
        </w:numPr>
        <w:spacing w:after="40" w:line="264" w:lineRule="auto"/>
        <w:contextualSpacing w:val="0"/>
      </w:pPr>
      <w:r>
        <w:t>Ban junk food and beverage marketing to children under the age of 16 years.</w:t>
      </w:r>
    </w:p>
    <w:p w14:paraId="2015B612" w14:textId="55FDEB05" w:rsidR="00560F1E" w:rsidRDefault="004C37E7" w:rsidP="003F5BD2">
      <w:pPr>
        <w:pStyle w:val="ListParagraph"/>
        <w:numPr>
          <w:ilvl w:val="0"/>
          <w:numId w:val="9"/>
        </w:numPr>
        <w:spacing w:after="40" w:line="264" w:lineRule="auto"/>
        <w:contextualSpacing w:val="0"/>
      </w:pPr>
      <w:r>
        <w:t>Impose</w:t>
      </w:r>
      <w:r w:rsidR="002432B5">
        <w:t xml:space="preserve"> an additional tax at the point of purchase on sugar-sweetened beverages to raise prices</w:t>
      </w:r>
      <w:r w:rsidR="00106D7C">
        <w:t xml:space="preserve"> by at least 20%.</w:t>
      </w:r>
    </w:p>
    <w:p w14:paraId="41A99A89" w14:textId="2589FF9F" w:rsidR="002432B5" w:rsidRDefault="00106D7C" w:rsidP="004153CD">
      <w:pPr>
        <w:pStyle w:val="ListParagraph"/>
        <w:numPr>
          <w:ilvl w:val="0"/>
          <w:numId w:val="11"/>
        </w:numPr>
        <w:spacing w:after="240" w:line="264" w:lineRule="auto"/>
      </w:pPr>
      <w:r>
        <w:t>Introduce a government-</w:t>
      </w:r>
      <w:r w:rsidR="002432B5">
        <w:t>mandated health star labelling</w:t>
      </w:r>
      <w:r>
        <w:t xml:space="preserve"> </w:t>
      </w:r>
      <w:bookmarkStart w:id="2" w:name="_GoBack"/>
      <w:bookmarkEnd w:id="2"/>
      <w:r>
        <w:t>system.</w:t>
      </w:r>
    </w:p>
    <w:p w14:paraId="297A3E81" w14:textId="77777777" w:rsidR="003F5BD2" w:rsidRPr="003F5BD2" w:rsidRDefault="003F5BD2" w:rsidP="003F5BD2">
      <w:pPr>
        <w:spacing w:line="264" w:lineRule="auto"/>
        <w:rPr>
          <w:b/>
        </w:rPr>
      </w:pPr>
      <w:r w:rsidRPr="003F5BD2">
        <w:rPr>
          <w:b/>
        </w:rPr>
        <w:t>Concluding remarks</w:t>
      </w:r>
    </w:p>
    <w:p w14:paraId="0EE36596" w14:textId="6D0BC609" w:rsidR="00D83660" w:rsidRDefault="003F5BD2" w:rsidP="0019003A">
      <w:pPr>
        <w:spacing w:after="120" w:line="264" w:lineRule="auto"/>
      </w:pPr>
      <w:r>
        <w:t xml:space="preserve">Writing last year in the </w:t>
      </w:r>
      <w:r w:rsidRPr="003F5BD2">
        <w:rPr>
          <w:i/>
        </w:rPr>
        <w:t>Medical Journal of Australia</w:t>
      </w:r>
      <w:r>
        <w:t xml:space="preserve">, its Editor-in-Chief Nicolas Talley </w:t>
      </w:r>
      <w:r w:rsidR="0019003A">
        <w:t xml:space="preserve">argued that ‘the </w:t>
      </w:r>
      <w:r w:rsidR="0019003A" w:rsidRPr="0019003A">
        <w:t>health of future generations should not be abandoned for short term and short sighted commercial interests</w:t>
      </w:r>
      <w:r w:rsidR="0019003A">
        <w:t>’.</w:t>
      </w:r>
      <w:r w:rsidR="0019003A">
        <w:fldChar w:fldCharType="begin"/>
      </w:r>
      <w:r w:rsidR="0019003A">
        <w:instrText xml:space="preserve"> NOTEREF _Ref518310198 \f \h </w:instrText>
      </w:r>
      <w:r w:rsidR="0019003A">
        <w:fldChar w:fldCharType="separate"/>
      </w:r>
      <w:r w:rsidR="00464C2A" w:rsidRPr="00464C2A">
        <w:rPr>
          <w:rStyle w:val="EndnoteReference"/>
        </w:rPr>
        <w:t>3</w:t>
      </w:r>
      <w:r w:rsidR="0019003A">
        <w:fldChar w:fldCharType="end"/>
      </w:r>
      <w:r w:rsidR="0019003A">
        <w:t xml:space="preserve"> </w:t>
      </w:r>
      <w:r w:rsidR="004153CD">
        <w:t xml:space="preserve">VicHealth </w:t>
      </w:r>
      <w:r w:rsidR="00A72902">
        <w:t xml:space="preserve">urges </w:t>
      </w:r>
      <w:r w:rsidR="0019003A">
        <w:t>members of the Senate Select C</w:t>
      </w:r>
      <w:r w:rsidR="00A72902">
        <w:t xml:space="preserve">ommittee </w:t>
      </w:r>
      <w:r>
        <w:t xml:space="preserve">to </w:t>
      </w:r>
      <w:r w:rsidR="00702D94">
        <w:t xml:space="preserve">take these comments into account and to </w:t>
      </w:r>
      <w:r w:rsidR="0019003A">
        <w:t>make recommendations for long-term, lasting change.</w:t>
      </w:r>
    </w:p>
    <w:p w14:paraId="3386B857" w14:textId="77777777" w:rsidR="002D652D" w:rsidRDefault="002D652D" w:rsidP="00D83660">
      <w:pPr>
        <w:spacing w:line="264" w:lineRule="auto"/>
      </w:pPr>
    </w:p>
    <w:p w14:paraId="1C94A3D6" w14:textId="77777777" w:rsidR="00D83660" w:rsidRDefault="00D83660" w:rsidP="00D83660">
      <w:pPr>
        <w:spacing w:after="160" w:line="259" w:lineRule="auto"/>
      </w:pPr>
      <w:r>
        <w:t>Yours sincerely</w:t>
      </w:r>
    </w:p>
    <w:p w14:paraId="0D5E1758" w14:textId="77777777" w:rsidR="00D83660" w:rsidRDefault="00D83660" w:rsidP="00D83660">
      <w:pPr>
        <w:spacing w:after="160" w:line="259" w:lineRule="auto"/>
      </w:pPr>
      <w:r w:rsidRPr="00A47154">
        <w:rPr>
          <w:noProof/>
          <w:lang w:eastAsia="en-AU"/>
        </w:rPr>
        <w:drawing>
          <wp:inline distT="0" distB="0" distL="0" distR="0" wp14:anchorId="3220522C" wp14:editId="1CFD2BF1">
            <wp:extent cx="2075995" cy="720000"/>
            <wp:effectExtent l="0" t="0" r="635" b="4445"/>
            <wp:docPr id="4" name="Picture 4" descr="N:\PDO\Submissions\Templates\Jerri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O\Submissions\Templates\Jerril's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5995" cy="720000"/>
                    </a:xfrm>
                    <a:prstGeom prst="rect">
                      <a:avLst/>
                    </a:prstGeom>
                    <a:noFill/>
                    <a:ln>
                      <a:noFill/>
                    </a:ln>
                  </pic:spPr>
                </pic:pic>
              </a:graphicData>
            </a:graphic>
          </wp:inline>
        </w:drawing>
      </w:r>
    </w:p>
    <w:p w14:paraId="71168E09" w14:textId="4E1106D8" w:rsidR="00AD71A5" w:rsidRDefault="00D83660" w:rsidP="00D83660">
      <w:pPr>
        <w:spacing w:after="160" w:line="259" w:lineRule="auto"/>
      </w:pPr>
      <w:r w:rsidRPr="00B12453">
        <w:rPr>
          <w:b/>
        </w:rPr>
        <w:t>Jerril Rechter</w:t>
      </w:r>
      <w:r>
        <w:rPr>
          <w:b/>
        </w:rPr>
        <w:br/>
      </w:r>
      <w:r>
        <w:t>Chief Executive Officer</w:t>
      </w:r>
    </w:p>
    <w:p w14:paraId="7E4062A2" w14:textId="56857BEB" w:rsidR="002432B5" w:rsidRDefault="002432B5" w:rsidP="00D83660">
      <w:pPr>
        <w:spacing w:after="160" w:line="259" w:lineRule="auto"/>
      </w:pPr>
    </w:p>
    <w:p w14:paraId="59EFC275" w14:textId="43C1DF87" w:rsidR="0017588C" w:rsidRDefault="0017588C" w:rsidP="00D83660">
      <w:pPr>
        <w:spacing w:after="160" w:line="259" w:lineRule="auto"/>
      </w:pPr>
    </w:p>
    <w:p w14:paraId="5B587BFF" w14:textId="3BE98F7E" w:rsidR="0017588C" w:rsidRDefault="0017588C" w:rsidP="00D83660">
      <w:pPr>
        <w:spacing w:after="160" w:line="259" w:lineRule="auto"/>
      </w:pPr>
    </w:p>
    <w:sectPr w:rsidR="0017588C" w:rsidSect="004153CD">
      <w:footerReference w:type="default" r:id="rId14"/>
      <w:headerReference w:type="first" r:id="rId15"/>
      <w:footerReference w:type="first" r:id="rId16"/>
      <w:endnotePr>
        <w:numFmt w:val="decimal"/>
      </w:endnotePr>
      <w:pgSz w:w="11906" w:h="16838" w:code="9"/>
      <w:pgMar w:top="2268" w:right="1134" w:bottom="2127" w:left="147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DAA4" w14:textId="77777777" w:rsidR="00560F1E" w:rsidRDefault="00560F1E" w:rsidP="00E709BF">
      <w:r>
        <w:separator/>
      </w:r>
    </w:p>
  </w:endnote>
  <w:endnote w:type="continuationSeparator" w:id="0">
    <w:p w14:paraId="62081BFD" w14:textId="77777777" w:rsidR="00560F1E" w:rsidRDefault="00560F1E" w:rsidP="00E709BF">
      <w:r>
        <w:continuationSeparator/>
      </w:r>
    </w:p>
  </w:endnote>
  <w:endnote w:id="1">
    <w:p w14:paraId="378B7ABE" w14:textId="77777777" w:rsidR="002432B5" w:rsidRPr="00D83660" w:rsidRDefault="002432B5" w:rsidP="00D83660">
      <w:pPr>
        <w:autoSpaceDE w:val="0"/>
        <w:autoSpaceDN w:val="0"/>
        <w:adjustRightInd w:val="0"/>
        <w:rPr>
          <w:sz w:val="18"/>
          <w:szCs w:val="18"/>
        </w:rPr>
      </w:pPr>
      <w:r w:rsidRPr="00D83660">
        <w:rPr>
          <w:rStyle w:val="EndnoteReference"/>
          <w:sz w:val="18"/>
          <w:szCs w:val="18"/>
        </w:rPr>
        <w:endnoteRef/>
      </w:r>
      <w:r w:rsidRPr="00D83660">
        <w:rPr>
          <w:sz w:val="18"/>
          <w:szCs w:val="18"/>
        </w:rPr>
        <w:t xml:space="preserve"> </w:t>
      </w:r>
      <w:r w:rsidRPr="00D83660">
        <w:rPr>
          <w:rFonts w:ascii="OpenSans" w:hAnsi="OpenSans" w:cs="OpenSans"/>
          <w:sz w:val="18"/>
          <w:szCs w:val="18"/>
        </w:rPr>
        <w:t xml:space="preserve">Australian Institute of Health and Welfare, </w:t>
      </w:r>
      <w:r w:rsidRPr="00D83660">
        <w:rPr>
          <w:rFonts w:ascii="OpenSans" w:hAnsi="OpenSans" w:cs="OpenSans"/>
          <w:i/>
          <w:sz w:val="18"/>
          <w:szCs w:val="18"/>
        </w:rPr>
        <w:t>Australia’s health 2018</w:t>
      </w:r>
      <w:r w:rsidRPr="00D83660">
        <w:rPr>
          <w:rFonts w:ascii="OpenSans" w:hAnsi="OpenSans" w:cs="OpenSans"/>
          <w:sz w:val="18"/>
          <w:szCs w:val="18"/>
        </w:rPr>
        <w:t>, Australia’s health series no. 16, AUS 221, 2018, p. 231.</w:t>
      </w:r>
    </w:p>
  </w:endnote>
  <w:endnote w:id="2">
    <w:p w14:paraId="7CF09BB8" w14:textId="77777777" w:rsidR="002432B5" w:rsidRPr="0019003A" w:rsidRDefault="002432B5" w:rsidP="00D83660">
      <w:pPr>
        <w:pStyle w:val="EndnoteText"/>
        <w:rPr>
          <w:sz w:val="18"/>
          <w:szCs w:val="18"/>
        </w:rPr>
      </w:pPr>
      <w:r w:rsidRPr="00D83660">
        <w:rPr>
          <w:rStyle w:val="EndnoteReference"/>
          <w:sz w:val="18"/>
          <w:szCs w:val="18"/>
        </w:rPr>
        <w:endnoteRef/>
      </w:r>
      <w:r w:rsidRPr="00D83660">
        <w:rPr>
          <w:sz w:val="18"/>
          <w:szCs w:val="18"/>
        </w:rPr>
        <w:t xml:space="preserve"> The Royal Australasian College of Physicians, </w:t>
      </w:r>
      <w:r w:rsidRPr="00D83660">
        <w:rPr>
          <w:i/>
          <w:sz w:val="18"/>
          <w:szCs w:val="18"/>
        </w:rPr>
        <w:t>RACP releases new position statement to tackle obesity,</w:t>
      </w:r>
      <w:r w:rsidRPr="00D83660">
        <w:rPr>
          <w:sz w:val="18"/>
          <w:szCs w:val="18"/>
        </w:rPr>
        <w:t xml:space="preserve"> Media release, 2018, Available from </w:t>
      </w:r>
      <w:hyperlink r:id="rId1" w:history="1">
        <w:r w:rsidRPr="00D83660">
          <w:rPr>
            <w:rStyle w:val="Hyperlink"/>
            <w:sz w:val="18"/>
            <w:szCs w:val="18"/>
          </w:rPr>
          <w:t>https://www.racp.edu.au/news-and-events/media-releases/racp-releases-new-position-statement-to-tackle-obesity</w:t>
        </w:r>
      </w:hyperlink>
      <w:r w:rsidRPr="0019003A">
        <w:rPr>
          <w:sz w:val="18"/>
          <w:szCs w:val="18"/>
        </w:rPr>
        <w:t xml:space="preserve">. </w:t>
      </w:r>
    </w:p>
  </w:endnote>
  <w:endnote w:id="3">
    <w:p w14:paraId="00F19BAC" w14:textId="7559C9F9" w:rsidR="00676284" w:rsidRPr="00676284" w:rsidRDefault="00676284" w:rsidP="00676284">
      <w:pPr>
        <w:pStyle w:val="EndnoteText"/>
      </w:pPr>
      <w:r w:rsidRPr="0019003A">
        <w:rPr>
          <w:rStyle w:val="EndnoteReference"/>
          <w:sz w:val="18"/>
          <w:szCs w:val="18"/>
        </w:rPr>
        <w:endnoteRef/>
      </w:r>
      <w:r w:rsidRPr="0019003A">
        <w:rPr>
          <w:sz w:val="18"/>
          <w:szCs w:val="18"/>
        </w:rPr>
        <w:t xml:space="preserve"> Talley N, ‘National Health Summit on Obesity calls for Australia to take action to stem the pandemic’, </w:t>
      </w:r>
      <w:r w:rsidRPr="0019003A">
        <w:rPr>
          <w:rFonts w:asciiTheme="minorHAnsi" w:hAnsiTheme="minorHAnsi"/>
          <w:i/>
          <w:sz w:val="18"/>
          <w:szCs w:val="18"/>
        </w:rPr>
        <w:t>Med J Aust</w:t>
      </w:r>
      <w:r w:rsidRPr="0019003A">
        <w:rPr>
          <w:rFonts w:asciiTheme="minorHAnsi" w:hAnsiTheme="minorHAnsi"/>
          <w:sz w:val="18"/>
          <w:szCs w:val="18"/>
        </w:rPr>
        <w:t>, 2017; 206 (3): 106-107.</w:t>
      </w:r>
    </w:p>
  </w:endnote>
  <w:endnote w:id="4">
    <w:p w14:paraId="3592D3BC" w14:textId="77777777" w:rsidR="002432B5" w:rsidRPr="00CA0D04" w:rsidRDefault="002432B5" w:rsidP="00D83660">
      <w:pPr>
        <w:pStyle w:val="EndnoteText"/>
        <w:rPr>
          <w:i/>
        </w:rPr>
      </w:pPr>
      <w:r w:rsidRPr="00D83660">
        <w:rPr>
          <w:rStyle w:val="EndnoteReference"/>
          <w:sz w:val="18"/>
          <w:szCs w:val="18"/>
        </w:rPr>
        <w:endnoteRef/>
      </w:r>
      <w:r w:rsidRPr="00D83660">
        <w:rPr>
          <w:sz w:val="18"/>
          <w:szCs w:val="18"/>
        </w:rPr>
        <w:t xml:space="preserve"> Obesity Policy Coalition and The Global Obesity Centre, </w:t>
      </w:r>
      <w:r w:rsidRPr="00D83660">
        <w:rPr>
          <w:i/>
          <w:sz w:val="18"/>
          <w:szCs w:val="18"/>
        </w:rPr>
        <w:t>Tipping the Scales: Australian Obesity Prevention Consensus</w:t>
      </w:r>
      <w:r w:rsidRPr="00D83660">
        <w:rPr>
          <w:sz w:val="18"/>
          <w:szCs w:val="18"/>
        </w:rPr>
        <w:t>, 2017.</w:t>
      </w:r>
    </w:p>
  </w:endnote>
  <w:endnote w:id="5">
    <w:p w14:paraId="3CBEA0F7" w14:textId="77777777" w:rsidR="002D652D" w:rsidRPr="00D83660" w:rsidRDefault="002D652D" w:rsidP="002D652D">
      <w:pPr>
        <w:pStyle w:val="EndnoteText"/>
        <w:spacing w:after="160"/>
        <w:rPr>
          <w:sz w:val="18"/>
          <w:szCs w:val="18"/>
        </w:rPr>
      </w:pPr>
      <w:r w:rsidRPr="00D83660">
        <w:rPr>
          <w:rStyle w:val="EndnoteReference"/>
          <w:sz w:val="18"/>
          <w:szCs w:val="18"/>
        </w:rPr>
        <w:endnoteRef/>
      </w:r>
      <w:r w:rsidRPr="00D83660">
        <w:rPr>
          <w:sz w:val="18"/>
          <w:szCs w:val="18"/>
        </w:rPr>
        <w:t xml:space="preserve"> VicHealth, </w:t>
      </w:r>
      <w:r w:rsidRPr="00D83660">
        <w:rPr>
          <w:i/>
          <w:sz w:val="18"/>
          <w:szCs w:val="18"/>
        </w:rPr>
        <w:t>Victoria’s Citizens’ Jury on Obesity, Insights Report 2016</w:t>
      </w:r>
      <w:r w:rsidRPr="00D83660">
        <w:rPr>
          <w:sz w:val="18"/>
          <w:szCs w:val="18"/>
        </w:rPr>
        <w:t>,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191828"/>
      <w:docPartObj>
        <w:docPartGallery w:val="Page Numbers (Bottom of Page)"/>
        <w:docPartUnique/>
      </w:docPartObj>
    </w:sdtPr>
    <w:sdtEndPr>
      <w:rPr>
        <w:noProof/>
        <w:sz w:val="18"/>
        <w:szCs w:val="18"/>
      </w:rPr>
    </w:sdtEndPr>
    <w:sdtContent>
      <w:p w14:paraId="75362808" w14:textId="786C2DF1" w:rsidR="00560F1E" w:rsidRPr="00D119F8" w:rsidRDefault="00560F1E" w:rsidP="00D119F8">
        <w:pPr>
          <w:pStyle w:val="Footer"/>
          <w:jc w:val="right"/>
          <w:rPr>
            <w:sz w:val="18"/>
            <w:szCs w:val="18"/>
          </w:rPr>
        </w:pPr>
        <w:r w:rsidRPr="00D119F8">
          <w:rPr>
            <w:sz w:val="18"/>
            <w:szCs w:val="18"/>
          </w:rPr>
          <w:fldChar w:fldCharType="begin"/>
        </w:r>
        <w:r w:rsidRPr="00D119F8">
          <w:rPr>
            <w:sz w:val="18"/>
            <w:szCs w:val="18"/>
          </w:rPr>
          <w:instrText xml:space="preserve"> PAGE   \* MERGEFORMAT </w:instrText>
        </w:r>
        <w:r w:rsidRPr="00D119F8">
          <w:rPr>
            <w:sz w:val="18"/>
            <w:szCs w:val="18"/>
          </w:rPr>
          <w:fldChar w:fldCharType="separate"/>
        </w:r>
        <w:r w:rsidR="004C37E7">
          <w:rPr>
            <w:noProof/>
            <w:sz w:val="18"/>
            <w:szCs w:val="18"/>
          </w:rPr>
          <w:t>2</w:t>
        </w:r>
        <w:r w:rsidRPr="00D119F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A217" w14:textId="77777777" w:rsidR="00560F1E" w:rsidRDefault="00560F1E">
    <w:pPr>
      <w:pStyle w:val="Footer"/>
    </w:pPr>
    <w:r>
      <w:rPr>
        <w:noProof/>
        <w:lang w:eastAsia="en-AU"/>
      </w:rPr>
      <w:drawing>
        <wp:anchor distT="0" distB="0" distL="114300" distR="114300" simplePos="0" relativeHeight="251660288" behindDoc="1" locked="1" layoutInCell="1" allowOverlap="1" wp14:anchorId="7BABB6D9" wp14:editId="0592A12A">
          <wp:simplePos x="0" y="0"/>
          <wp:positionH relativeFrom="column">
            <wp:posOffset>-935990</wp:posOffset>
          </wp:positionH>
          <wp:positionV relativeFrom="page">
            <wp:posOffset>9373870</wp:posOffset>
          </wp:positionV>
          <wp:extent cx="7581900" cy="11734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1900" cy="1173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4367" w14:textId="77777777" w:rsidR="00560F1E" w:rsidRDefault="00560F1E" w:rsidP="00E709BF">
      <w:r>
        <w:separator/>
      </w:r>
    </w:p>
  </w:footnote>
  <w:footnote w:type="continuationSeparator" w:id="0">
    <w:p w14:paraId="4DCFB9C5" w14:textId="77777777" w:rsidR="00560F1E" w:rsidRDefault="00560F1E" w:rsidP="00E7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72DE" w14:textId="77777777" w:rsidR="00560F1E" w:rsidRDefault="00560F1E" w:rsidP="00E709BF">
    <w:pPr>
      <w:pStyle w:val="Header"/>
      <w:tabs>
        <w:tab w:val="clear" w:pos="4513"/>
        <w:tab w:val="clear" w:pos="9026"/>
        <w:tab w:val="left" w:pos="919"/>
      </w:tabs>
    </w:pPr>
    <w:r>
      <w:rPr>
        <w:noProof/>
        <w:lang w:eastAsia="en-AU"/>
      </w:rPr>
      <w:drawing>
        <wp:anchor distT="0" distB="0" distL="114300" distR="114300" simplePos="0" relativeHeight="251659264" behindDoc="1" locked="1" layoutInCell="1" allowOverlap="1" wp14:anchorId="73034356" wp14:editId="5F3B2949">
          <wp:simplePos x="0" y="0"/>
          <wp:positionH relativeFrom="column">
            <wp:posOffset>4704715</wp:posOffset>
          </wp:positionH>
          <wp:positionV relativeFrom="page">
            <wp:posOffset>344170</wp:posOffset>
          </wp:positionV>
          <wp:extent cx="1457960" cy="46228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2k\docs\M&amp;C\Admin\EM Office\Secure\Brand\Emery\Logos\Master Logos without TM\Brandmark\Jpeg + Png\VicHealth_Brandmark_POS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960" cy="46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E7B"/>
    <w:multiLevelType w:val="hybridMultilevel"/>
    <w:tmpl w:val="E474B48C"/>
    <w:lvl w:ilvl="0" w:tplc="E05E38A6">
      <w:start w:val="1"/>
      <w:numFmt w:val="decimal"/>
      <w:lvlText w:val="%1."/>
      <w:lvlJc w:val="left"/>
      <w:pPr>
        <w:ind w:left="360" w:hanging="360"/>
      </w:pPr>
      <w:rPr>
        <w:rFonts w:hint="default"/>
        <w:color w:val="00924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803F14"/>
    <w:multiLevelType w:val="hybridMultilevel"/>
    <w:tmpl w:val="5CF20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BF20E3"/>
    <w:multiLevelType w:val="hybridMultilevel"/>
    <w:tmpl w:val="DF3211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E270B5"/>
    <w:multiLevelType w:val="hybridMultilevel"/>
    <w:tmpl w:val="326A7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4913DC"/>
    <w:multiLevelType w:val="hybridMultilevel"/>
    <w:tmpl w:val="2E8028E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52445327"/>
    <w:multiLevelType w:val="hybridMultilevel"/>
    <w:tmpl w:val="90326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A605100"/>
    <w:multiLevelType w:val="hybridMultilevel"/>
    <w:tmpl w:val="0CF8E688"/>
    <w:lvl w:ilvl="0" w:tplc="5F2A61BE">
      <w:start w:val="1"/>
      <w:numFmt w:val="decimal"/>
      <w:lvlText w:val="%1."/>
      <w:lvlJc w:val="left"/>
      <w:pPr>
        <w:ind w:left="6" w:hanging="360"/>
      </w:pPr>
      <w:rPr>
        <w:rFonts w:ascii="Calibri" w:hAnsi="Calibri" w:hint="default"/>
        <w:color w:val="000000" w:themeColor="text1"/>
        <w:sz w:val="22"/>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7" w15:restartNumberingAfterBreak="0">
    <w:nsid w:val="60764F69"/>
    <w:multiLevelType w:val="multilevel"/>
    <w:tmpl w:val="4D98375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62756F8E"/>
    <w:multiLevelType w:val="hybridMultilevel"/>
    <w:tmpl w:val="EFCA9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A353DE"/>
    <w:multiLevelType w:val="hybridMultilevel"/>
    <w:tmpl w:val="768437BC"/>
    <w:lvl w:ilvl="0" w:tplc="A008ED68">
      <w:start w:val="1"/>
      <w:numFmt w:val="decimal"/>
      <w:lvlText w:val="%1."/>
      <w:lvlJc w:val="left"/>
      <w:pPr>
        <w:ind w:left="360" w:hanging="360"/>
      </w:pPr>
      <w:rPr>
        <w:rFonts w:hint="default"/>
        <w:color w:val="00B05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4E6D0D"/>
    <w:multiLevelType w:val="hybridMultilevel"/>
    <w:tmpl w:val="3A74BCC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2"/>
  </w:num>
  <w:num w:numId="7">
    <w:abstractNumId w:val="8"/>
  </w:num>
  <w:num w:numId="8">
    <w:abstractNumId w:val="9"/>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A5"/>
    <w:rsid w:val="00013C81"/>
    <w:rsid w:val="000145B4"/>
    <w:rsid w:val="00062AA9"/>
    <w:rsid w:val="00072FA1"/>
    <w:rsid w:val="000843BB"/>
    <w:rsid w:val="0009380D"/>
    <w:rsid w:val="00095A65"/>
    <w:rsid w:val="000D5EBC"/>
    <w:rsid w:val="000F7518"/>
    <w:rsid w:val="00106D7C"/>
    <w:rsid w:val="00110B55"/>
    <w:rsid w:val="001156E4"/>
    <w:rsid w:val="001248DD"/>
    <w:rsid w:val="001275AC"/>
    <w:rsid w:val="00144A70"/>
    <w:rsid w:val="0017588C"/>
    <w:rsid w:val="001834BA"/>
    <w:rsid w:val="0019003A"/>
    <w:rsid w:val="002212B0"/>
    <w:rsid w:val="002432B5"/>
    <w:rsid w:val="002455F0"/>
    <w:rsid w:val="00297A71"/>
    <w:rsid w:val="002D652D"/>
    <w:rsid w:val="002E05AE"/>
    <w:rsid w:val="003474B8"/>
    <w:rsid w:val="003E7553"/>
    <w:rsid w:val="003F5BD2"/>
    <w:rsid w:val="004020F8"/>
    <w:rsid w:val="004153CD"/>
    <w:rsid w:val="00436CF3"/>
    <w:rsid w:val="00464C2A"/>
    <w:rsid w:val="004A1C09"/>
    <w:rsid w:val="004C37E7"/>
    <w:rsid w:val="004F21BF"/>
    <w:rsid w:val="00515B22"/>
    <w:rsid w:val="00525CAF"/>
    <w:rsid w:val="005353F3"/>
    <w:rsid w:val="00543F23"/>
    <w:rsid w:val="00551892"/>
    <w:rsid w:val="00560F1E"/>
    <w:rsid w:val="00566D53"/>
    <w:rsid w:val="005D4E31"/>
    <w:rsid w:val="005E782A"/>
    <w:rsid w:val="005E787F"/>
    <w:rsid w:val="005F3FB0"/>
    <w:rsid w:val="00600D85"/>
    <w:rsid w:val="00676284"/>
    <w:rsid w:val="00702D94"/>
    <w:rsid w:val="00745B8C"/>
    <w:rsid w:val="007907FA"/>
    <w:rsid w:val="00842752"/>
    <w:rsid w:val="00870254"/>
    <w:rsid w:val="008D33B8"/>
    <w:rsid w:val="008D61F9"/>
    <w:rsid w:val="008E1138"/>
    <w:rsid w:val="008F4758"/>
    <w:rsid w:val="00906279"/>
    <w:rsid w:val="00966993"/>
    <w:rsid w:val="00977AAF"/>
    <w:rsid w:val="009C4E0D"/>
    <w:rsid w:val="00A41A42"/>
    <w:rsid w:val="00A72902"/>
    <w:rsid w:val="00A729CE"/>
    <w:rsid w:val="00AB162C"/>
    <w:rsid w:val="00AB225E"/>
    <w:rsid w:val="00AD71A5"/>
    <w:rsid w:val="00AE49F3"/>
    <w:rsid w:val="00AF2191"/>
    <w:rsid w:val="00B1536D"/>
    <w:rsid w:val="00B53622"/>
    <w:rsid w:val="00BB6E16"/>
    <w:rsid w:val="00C43D1E"/>
    <w:rsid w:val="00CC31DA"/>
    <w:rsid w:val="00D119F8"/>
    <w:rsid w:val="00D83660"/>
    <w:rsid w:val="00DD6397"/>
    <w:rsid w:val="00DF06AD"/>
    <w:rsid w:val="00E12315"/>
    <w:rsid w:val="00E424A1"/>
    <w:rsid w:val="00E709BF"/>
    <w:rsid w:val="00EA3355"/>
    <w:rsid w:val="00EA485D"/>
    <w:rsid w:val="00EE1131"/>
    <w:rsid w:val="00FA7ADE"/>
    <w:rsid w:val="00FE7378"/>
    <w:rsid w:val="00FF1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F61C5"/>
  <w15:docId w15:val="{C4CDAA70-D3CD-4344-A53F-218A0B1B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660"/>
  </w:style>
  <w:style w:type="paragraph" w:styleId="Heading1">
    <w:name w:val="heading 1"/>
    <w:basedOn w:val="Normal"/>
    <w:next w:val="Normal"/>
    <w:link w:val="Heading1Char"/>
    <w:uiPriority w:val="9"/>
    <w:qFormat/>
    <w:rsid w:val="00AD71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6E16"/>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9BF"/>
    <w:pPr>
      <w:tabs>
        <w:tab w:val="center" w:pos="4513"/>
        <w:tab w:val="right" w:pos="9026"/>
      </w:tabs>
    </w:pPr>
  </w:style>
  <w:style w:type="character" w:customStyle="1" w:styleId="HeaderChar">
    <w:name w:val="Header Char"/>
    <w:basedOn w:val="DefaultParagraphFont"/>
    <w:link w:val="Header"/>
    <w:uiPriority w:val="99"/>
    <w:rsid w:val="00E709BF"/>
  </w:style>
  <w:style w:type="paragraph" w:styleId="Footer">
    <w:name w:val="footer"/>
    <w:basedOn w:val="Normal"/>
    <w:link w:val="FooterChar"/>
    <w:uiPriority w:val="99"/>
    <w:unhideWhenUsed/>
    <w:rsid w:val="00E709BF"/>
    <w:pPr>
      <w:tabs>
        <w:tab w:val="center" w:pos="4513"/>
        <w:tab w:val="right" w:pos="9026"/>
      </w:tabs>
    </w:pPr>
  </w:style>
  <w:style w:type="character" w:customStyle="1" w:styleId="FooterChar">
    <w:name w:val="Footer Char"/>
    <w:basedOn w:val="DefaultParagraphFont"/>
    <w:link w:val="Footer"/>
    <w:uiPriority w:val="99"/>
    <w:rsid w:val="00E709BF"/>
  </w:style>
  <w:style w:type="paragraph" w:styleId="BalloonText">
    <w:name w:val="Balloon Text"/>
    <w:basedOn w:val="Normal"/>
    <w:link w:val="BalloonTextChar"/>
    <w:uiPriority w:val="99"/>
    <w:semiHidden/>
    <w:unhideWhenUsed/>
    <w:rsid w:val="00E709BF"/>
    <w:rPr>
      <w:rFonts w:ascii="Tahoma" w:hAnsi="Tahoma" w:cs="Tahoma"/>
      <w:sz w:val="16"/>
      <w:szCs w:val="16"/>
    </w:rPr>
  </w:style>
  <w:style w:type="character" w:customStyle="1" w:styleId="BalloonTextChar">
    <w:name w:val="Balloon Text Char"/>
    <w:basedOn w:val="DefaultParagraphFont"/>
    <w:link w:val="BalloonText"/>
    <w:uiPriority w:val="99"/>
    <w:semiHidden/>
    <w:rsid w:val="00E709BF"/>
    <w:rPr>
      <w:rFonts w:ascii="Tahoma" w:hAnsi="Tahoma" w:cs="Tahoma"/>
      <w:sz w:val="16"/>
      <w:szCs w:val="16"/>
    </w:rPr>
  </w:style>
  <w:style w:type="character" w:customStyle="1" w:styleId="Heading2Char">
    <w:name w:val="Heading 2 Char"/>
    <w:basedOn w:val="DefaultParagraphFont"/>
    <w:link w:val="Heading2"/>
    <w:uiPriority w:val="9"/>
    <w:rsid w:val="00BB6E1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B6E16"/>
    <w:rPr>
      <w:color w:val="0000FF"/>
      <w:u w:val="single"/>
    </w:rPr>
  </w:style>
  <w:style w:type="paragraph" w:styleId="NormalWeb">
    <w:name w:val="Normal (Web)"/>
    <w:basedOn w:val="Normal"/>
    <w:uiPriority w:val="99"/>
    <w:semiHidden/>
    <w:unhideWhenUsed/>
    <w:rsid w:val="00BB6E16"/>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6E16"/>
    <w:rPr>
      <w:b/>
      <w:bCs/>
    </w:rPr>
  </w:style>
  <w:style w:type="character" w:styleId="Emphasis">
    <w:name w:val="Emphasis"/>
    <w:basedOn w:val="DefaultParagraphFont"/>
    <w:uiPriority w:val="20"/>
    <w:qFormat/>
    <w:rsid w:val="00BB6E16"/>
    <w:rPr>
      <w:i/>
      <w:iCs/>
    </w:rPr>
  </w:style>
  <w:style w:type="paragraph" w:customStyle="1" w:styleId="Caption1">
    <w:name w:val="Caption1"/>
    <w:basedOn w:val="Normal"/>
    <w:rsid w:val="00BB6E16"/>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D71A5"/>
    <w:pPr>
      <w:ind w:left="720"/>
      <w:contextualSpacing/>
    </w:pPr>
  </w:style>
  <w:style w:type="character" w:customStyle="1" w:styleId="Heading1Char">
    <w:name w:val="Heading 1 Char"/>
    <w:basedOn w:val="DefaultParagraphFont"/>
    <w:link w:val="Heading1"/>
    <w:uiPriority w:val="9"/>
    <w:rsid w:val="00AD71A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156E4"/>
    <w:rPr>
      <w:sz w:val="16"/>
      <w:szCs w:val="16"/>
    </w:rPr>
  </w:style>
  <w:style w:type="paragraph" w:styleId="CommentText">
    <w:name w:val="annotation text"/>
    <w:basedOn w:val="Normal"/>
    <w:link w:val="CommentTextChar"/>
    <w:uiPriority w:val="99"/>
    <w:unhideWhenUsed/>
    <w:rsid w:val="001156E4"/>
    <w:rPr>
      <w:sz w:val="20"/>
      <w:szCs w:val="20"/>
    </w:rPr>
  </w:style>
  <w:style w:type="character" w:customStyle="1" w:styleId="CommentTextChar">
    <w:name w:val="Comment Text Char"/>
    <w:basedOn w:val="DefaultParagraphFont"/>
    <w:link w:val="CommentText"/>
    <w:uiPriority w:val="99"/>
    <w:rsid w:val="001156E4"/>
    <w:rPr>
      <w:sz w:val="20"/>
      <w:szCs w:val="20"/>
    </w:rPr>
  </w:style>
  <w:style w:type="paragraph" w:styleId="CommentSubject">
    <w:name w:val="annotation subject"/>
    <w:basedOn w:val="CommentText"/>
    <w:next w:val="CommentText"/>
    <w:link w:val="CommentSubjectChar"/>
    <w:uiPriority w:val="99"/>
    <w:semiHidden/>
    <w:unhideWhenUsed/>
    <w:rsid w:val="001156E4"/>
    <w:rPr>
      <w:b/>
      <w:bCs/>
    </w:rPr>
  </w:style>
  <w:style w:type="character" w:customStyle="1" w:styleId="CommentSubjectChar">
    <w:name w:val="Comment Subject Char"/>
    <w:basedOn w:val="CommentTextChar"/>
    <w:link w:val="CommentSubject"/>
    <w:uiPriority w:val="99"/>
    <w:semiHidden/>
    <w:rsid w:val="001156E4"/>
    <w:rPr>
      <w:b/>
      <w:bCs/>
      <w:sz w:val="20"/>
      <w:szCs w:val="20"/>
    </w:rPr>
  </w:style>
  <w:style w:type="character" w:styleId="UnresolvedMention">
    <w:name w:val="Unresolved Mention"/>
    <w:basedOn w:val="DefaultParagraphFont"/>
    <w:uiPriority w:val="99"/>
    <w:semiHidden/>
    <w:unhideWhenUsed/>
    <w:rsid w:val="001156E4"/>
    <w:rPr>
      <w:color w:val="808080"/>
      <w:shd w:val="clear" w:color="auto" w:fill="E6E6E6"/>
    </w:rPr>
  </w:style>
  <w:style w:type="paragraph" w:styleId="FootnoteText">
    <w:name w:val="footnote text"/>
    <w:basedOn w:val="Normal"/>
    <w:link w:val="FootnoteTextChar"/>
    <w:uiPriority w:val="99"/>
    <w:semiHidden/>
    <w:unhideWhenUsed/>
    <w:rsid w:val="001156E4"/>
    <w:pPr>
      <w:ind w:left="227" w:hanging="227"/>
    </w:pPr>
    <w:rPr>
      <w:sz w:val="20"/>
      <w:szCs w:val="20"/>
    </w:rPr>
  </w:style>
  <w:style w:type="character" w:customStyle="1" w:styleId="FootnoteTextChar">
    <w:name w:val="Footnote Text Char"/>
    <w:basedOn w:val="DefaultParagraphFont"/>
    <w:link w:val="FootnoteText"/>
    <w:uiPriority w:val="99"/>
    <w:semiHidden/>
    <w:rsid w:val="001156E4"/>
    <w:rPr>
      <w:sz w:val="20"/>
      <w:szCs w:val="20"/>
    </w:rPr>
  </w:style>
  <w:style w:type="character" w:styleId="FootnoteReference">
    <w:name w:val="footnote reference"/>
    <w:basedOn w:val="DefaultParagraphFont"/>
    <w:uiPriority w:val="99"/>
    <w:unhideWhenUsed/>
    <w:rsid w:val="001156E4"/>
    <w:rPr>
      <w:vertAlign w:val="superscript"/>
    </w:rPr>
  </w:style>
  <w:style w:type="character" w:styleId="FollowedHyperlink">
    <w:name w:val="FollowedHyperlink"/>
    <w:basedOn w:val="DefaultParagraphFont"/>
    <w:uiPriority w:val="99"/>
    <w:semiHidden/>
    <w:unhideWhenUsed/>
    <w:rsid w:val="00566D53"/>
    <w:rPr>
      <w:color w:val="800080" w:themeColor="followedHyperlink"/>
      <w:u w:val="single"/>
    </w:rPr>
  </w:style>
  <w:style w:type="character" w:styleId="EndnoteReference">
    <w:name w:val="endnote reference"/>
    <w:basedOn w:val="DefaultParagraphFont"/>
    <w:unhideWhenUsed/>
    <w:rsid w:val="00C43D1E"/>
    <w:rPr>
      <w:sz w:val="20"/>
      <w:vertAlign w:val="superscript"/>
    </w:rPr>
  </w:style>
  <w:style w:type="paragraph" w:styleId="EndnoteText">
    <w:name w:val="endnote text"/>
    <w:basedOn w:val="Normal"/>
    <w:link w:val="EndnoteTextChar"/>
    <w:uiPriority w:val="99"/>
    <w:unhideWhenUsed/>
    <w:rsid w:val="00C43D1E"/>
    <w:pPr>
      <w:suppressAutoHyphens/>
    </w:pPr>
    <w:rPr>
      <w:rFonts w:ascii="Calibri" w:eastAsia="Arial Unicode MS" w:hAnsi="Calibri" w:cs="Arial Unicode MS"/>
      <w:sz w:val="20"/>
      <w:szCs w:val="20"/>
      <w:lang w:val="en-GB"/>
    </w:rPr>
  </w:style>
  <w:style w:type="character" w:customStyle="1" w:styleId="EndnoteTextChar">
    <w:name w:val="Endnote Text Char"/>
    <w:basedOn w:val="DefaultParagraphFont"/>
    <w:link w:val="EndnoteText"/>
    <w:uiPriority w:val="99"/>
    <w:rsid w:val="00C43D1E"/>
    <w:rPr>
      <w:rFonts w:ascii="Calibri" w:eastAsia="Arial Unicode MS" w:hAnsi="Calibri" w:cs="Arial Unicode MS"/>
      <w:sz w:val="20"/>
      <w:szCs w:val="20"/>
      <w:lang w:val="en-GB"/>
    </w:rPr>
  </w:style>
  <w:style w:type="character" w:customStyle="1" w:styleId="citation">
    <w:name w:val="citation"/>
    <w:basedOn w:val="DefaultParagraphFont"/>
    <w:rsid w:val="00676284"/>
  </w:style>
  <w:style w:type="character" w:customStyle="1" w:styleId="doi">
    <w:name w:val="doi"/>
    <w:basedOn w:val="DefaultParagraphFont"/>
    <w:rsid w:val="0067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25655">
      <w:bodyDiv w:val="1"/>
      <w:marLeft w:val="0"/>
      <w:marRight w:val="0"/>
      <w:marTop w:val="0"/>
      <w:marBottom w:val="0"/>
      <w:divBdr>
        <w:top w:val="none" w:sz="0" w:space="0" w:color="auto"/>
        <w:left w:val="none" w:sz="0" w:space="0" w:color="auto"/>
        <w:bottom w:val="none" w:sz="0" w:space="0" w:color="auto"/>
        <w:right w:val="none" w:sz="0" w:space="0" w:color="auto"/>
      </w:divBdr>
    </w:div>
    <w:div w:id="916020138">
      <w:bodyDiv w:val="1"/>
      <w:marLeft w:val="0"/>
      <w:marRight w:val="0"/>
      <w:marTop w:val="0"/>
      <w:marBottom w:val="0"/>
      <w:divBdr>
        <w:top w:val="none" w:sz="0" w:space="0" w:color="auto"/>
        <w:left w:val="none" w:sz="0" w:space="0" w:color="auto"/>
        <w:bottom w:val="none" w:sz="0" w:space="0" w:color="auto"/>
        <w:right w:val="none" w:sz="0" w:space="0" w:color="auto"/>
      </w:divBdr>
    </w:div>
    <w:div w:id="1038967832">
      <w:bodyDiv w:val="1"/>
      <w:marLeft w:val="0"/>
      <w:marRight w:val="0"/>
      <w:marTop w:val="0"/>
      <w:marBottom w:val="0"/>
      <w:divBdr>
        <w:top w:val="none" w:sz="0" w:space="0" w:color="auto"/>
        <w:left w:val="none" w:sz="0" w:space="0" w:color="auto"/>
        <w:bottom w:val="none" w:sz="0" w:space="0" w:color="auto"/>
        <w:right w:val="none" w:sz="0" w:space="0" w:color="auto"/>
      </w:divBdr>
    </w:div>
    <w:div w:id="1183592168">
      <w:bodyDiv w:val="1"/>
      <w:marLeft w:val="0"/>
      <w:marRight w:val="0"/>
      <w:marTop w:val="0"/>
      <w:marBottom w:val="0"/>
      <w:divBdr>
        <w:top w:val="none" w:sz="0" w:space="0" w:color="auto"/>
        <w:left w:val="none" w:sz="0" w:space="0" w:color="auto"/>
        <w:bottom w:val="none" w:sz="0" w:space="0" w:color="auto"/>
        <w:right w:val="none" w:sz="0" w:space="0" w:color="auto"/>
      </w:divBdr>
      <w:divsChild>
        <w:div w:id="994185462">
          <w:marLeft w:val="0"/>
          <w:marRight w:val="0"/>
          <w:marTop w:val="0"/>
          <w:marBottom w:val="0"/>
          <w:divBdr>
            <w:top w:val="none" w:sz="0" w:space="0" w:color="auto"/>
            <w:left w:val="none" w:sz="0" w:space="0" w:color="auto"/>
            <w:bottom w:val="none" w:sz="0" w:space="0" w:color="auto"/>
            <w:right w:val="none" w:sz="0" w:space="0" w:color="auto"/>
          </w:divBdr>
          <w:divsChild>
            <w:div w:id="232930280">
              <w:marLeft w:val="0"/>
              <w:marRight w:val="0"/>
              <w:marTop w:val="0"/>
              <w:marBottom w:val="0"/>
              <w:divBdr>
                <w:top w:val="none" w:sz="0" w:space="0" w:color="auto"/>
                <w:left w:val="none" w:sz="0" w:space="0" w:color="auto"/>
                <w:bottom w:val="none" w:sz="0" w:space="0" w:color="auto"/>
                <w:right w:val="none" w:sz="0" w:space="0" w:color="auto"/>
              </w:divBdr>
              <w:divsChild>
                <w:div w:id="217938669">
                  <w:marLeft w:val="0"/>
                  <w:marRight w:val="0"/>
                  <w:marTop w:val="0"/>
                  <w:marBottom w:val="0"/>
                  <w:divBdr>
                    <w:top w:val="none" w:sz="0" w:space="0" w:color="auto"/>
                    <w:left w:val="none" w:sz="0" w:space="0" w:color="auto"/>
                    <w:bottom w:val="none" w:sz="0" w:space="0" w:color="auto"/>
                    <w:right w:val="none" w:sz="0" w:space="0" w:color="auto"/>
                  </w:divBdr>
                  <w:divsChild>
                    <w:div w:id="1168328489">
                      <w:marLeft w:val="0"/>
                      <w:marRight w:val="0"/>
                      <w:marTop w:val="0"/>
                      <w:marBottom w:val="0"/>
                      <w:divBdr>
                        <w:top w:val="none" w:sz="0" w:space="0" w:color="auto"/>
                        <w:left w:val="none" w:sz="0" w:space="0" w:color="auto"/>
                        <w:bottom w:val="none" w:sz="0" w:space="0" w:color="auto"/>
                        <w:right w:val="none" w:sz="0" w:space="0" w:color="auto"/>
                      </w:divBdr>
                      <w:divsChild>
                        <w:div w:id="540485583">
                          <w:marLeft w:val="0"/>
                          <w:marRight w:val="0"/>
                          <w:marTop w:val="0"/>
                          <w:marBottom w:val="0"/>
                          <w:divBdr>
                            <w:top w:val="none" w:sz="0" w:space="0" w:color="auto"/>
                            <w:left w:val="none" w:sz="0" w:space="0" w:color="auto"/>
                            <w:bottom w:val="none" w:sz="0" w:space="0" w:color="auto"/>
                            <w:right w:val="none" w:sz="0" w:space="0" w:color="auto"/>
                          </w:divBdr>
                          <w:divsChild>
                            <w:div w:id="391462243">
                              <w:marLeft w:val="0"/>
                              <w:marRight w:val="0"/>
                              <w:marTop w:val="0"/>
                              <w:marBottom w:val="0"/>
                              <w:divBdr>
                                <w:top w:val="none" w:sz="0" w:space="0" w:color="auto"/>
                                <w:left w:val="none" w:sz="0" w:space="0" w:color="auto"/>
                                <w:bottom w:val="none" w:sz="0" w:space="0" w:color="auto"/>
                                <w:right w:val="none" w:sz="0" w:space="0" w:color="auto"/>
                              </w:divBdr>
                              <w:divsChild>
                                <w:div w:id="17273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org.au/downloads/tipping-the-scales/tipping-the-scales.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c.org.au/downloads/tipping-the-scales/tipping-the-scal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health.vic.gov.au/programs-and-projects/victorias-citizens-jury-on-obes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c.org.au/downloads/tipping-the-scales/tipping-the-scales.pdf" TargetMode="External"/><Relationship Id="rId4" Type="http://schemas.openxmlformats.org/officeDocument/2006/relationships/settings" Target="settings.xml"/><Relationship Id="rId9" Type="http://schemas.openxmlformats.org/officeDocument/2006/relationships/hyperlink" Target="http://www.opc.org.au/downloads/tipping-the-scales/tipping-the-scales.pdf"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racp.edu.au/news-and-events/media-releases/racp-releases-new-position-statement-to-tackle-obesit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h2k\apps\Template\VicHealth\VH%20Letterhead_ema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32D88-7AAD-4D5D-ABE1-DC02C811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 Letterhead_email.dotx</Template>
  <TotalTime>236</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Vic Health</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 Nicholls</dc:creator>
  <cp:lastModifiedBy>Greg Ford</cp:lastModifiedBy>
  <cp:revision>12</cp:revision>
  <cp:lastPrinted>2018-07-02T06:00:00Z</cp:lastPrinted>
  <dcterms:created xsi:type="dcterms:W3CDTF">2018-07-02T02:13:00Z</dcterms:created>
  <dcterms:modified xsi:type="dcterms:W3CDTF">2018-07-26T06:14:00Z</dcterms:modified>
</cp:coreProperties>
</file>