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22B3" w14:textId="7BDB3AEF" w:rsidR="00BA3365" w:rsidRDefault="0031746B" w:rsidP="0031746B">
      <w:pPr>
        <w:pStyle w:val="Title"/>
      </w:pPr>
      <w:r>
        <w:t>A</w:t>
      </w:r>
      <w:r w:rsidR="0097370B">
        <w:t>rts</w:t>
      </w:r>
    </w:p>
    <w:p w14:paraId="05BC321A" w14:textId="0D0B5BB3" w:rsidR="0031746B" w:rsidRDefault="0031746B" w:rsidP="0031746B">
      <w:pPr>
        <w:pStyle w:val="Subtitle"/>
      </w:pPr>
      <w:r w:rsidRPr="0031746B">
        <w:t>Strategy 2019–2023</w:t>
      </w:r>
    </w:p>
    <w:p w14:paraId="787EC503" w14:textId="3C53401C" w:rsidR="0031746B" w:rsidRDefault="0097370B" w:rsidP="0031746B">
      <w:pPr>
        <w:pStyle w:val="Heading1"/>
      </w:pPr>
      <w:r>
        <w:t>At a glance</w:t>
      </w:r>
    </w:p>
    <w:p w14:paraId="677B5565" w14:textId="5C597A8E" w:rsidR="00D430D6" w:rsidRPr="00D430D6" w:rsidRDefault="0097370B" w:rsidP="00D430D6">
      <w:pPr>
        <w:pStyle w:val="BodyText"/>
        <w:rPr>
          <w:lang w:eastAsia="en-AU"/>
        </w:rPr>
      </w:pPr>
      <w:r w:rsidRPr="0097370B">
        <w:rPr>
          <w:lang w:eastAsia="en-AU"/>
        </w:rPr>
        <w:t>Participating in the arts has multiple benefits for health and wellbeing: it reduces social isolation, strengthens community connection and builds self-esteem, as people pursue creative activity alone or in groups.</w:t>
      </w:r>
    </w:p>
    <w:p w14:paraId="6433199D" w14:textId="55393EFA" w:rsidR="0031746B" w:rsidRDefault="0031746B" w:rsidP="0031746B">
      <w:pPr>
        <w:pStyle w:val="Heading1"/>
      </w:pPr>
      <w:r>
        <w:t>O</w:t>
      </w:r>
      <w:r w:rsidR="0097370B">
        <w:t>ver the past six years</w:t>
      </w:r>
    </w:p>
    <w:p w14:paraId="53D80631" w14:textId="7B443674" w:rsidR="00D430D6" w:rsidRPr="00D430D6" w:rsidRDefault="0097370B" w:rsidP="00D430D6">
      <w:pPr>
        <w:pStyle w:val="BodyText"/>
        <w:rPr>
          <w:lang w:eastAsia="en-AU"/>
        </w:rPr>
      </w:pPr>
      <w:r w:rsidRPr="0097370B">
        <w:rPr>
          <w:lang w:eastAsia="en-AU"/>
        </w:rPr>
        <w:t xml:space="preserve">Since 2013, VicHealth has led a research agenda to build the evidence for arts-based health promotion, reflecting the need to know what works, how to measure it and the importance of communicating the benefits of arts for health and wellbeing. Our </w:t>
      </w:r>
      <w:hyperlink r:id="rId8" w:history="1">
        <w:r w:rsidRPr="00521BAE">
          <w:rPr>
            <w:rStyle w:val="Hyperlink"/>
            <w:lang w:eastAsia="en-AU"/>
          </w:rPr>
          <w:t>Arts Strategy 2017–19</w:t>
        </w:r>
      </w:hyperlink>
      <w:r w:rsidRPr="0097370B">
        <w:rPr>
          <w:lang w:eastAsia="en-AU"/>
        </w:rPr>
        <w:t xml:space="preserve"> explored the role that arts can play in addressing complex social issues such as social isolation, youth mental wellbeing, gender equality and local identity.</w:t>
      </w:r>
    </w:p>
    <w:p w14:paraId="43E03330" w14:textId="3687D8A3" w:rsidR="0031746B" w:rsidRDefault="0031746B" w:rsidP="0031746B">
      <w:pPr>
        <w:pStyle w:val="Heading1"/>
      </w:pPr>
      <w:r>
        <w:t>2019–2023</w:t>
      </w:r>
    </w:p>
    <w:p w14:paraId="6E035C40" w14:textId="77777777" w:rsidR="0097370B" w:rsidRDefault="0097370B" w:rsidP="0097370B">
      <w:pPr>
        <w:pStyle w:val="BodyText"/>
        <w:rPr>
          <w:lang w:eastAsia="en-AU"/>
        </w:rPr>
      </w:pPr>
      <w:r w:rsidRPr="0097370B">
        <w:rPr>
          <w:lang w:eastAsia="en-AU"/>
        </w:rPr>
        <w:t>Four-year goal: We will focus on promoting the health and wellbeing benefits of the arts by:</w:t>
      </w:r>
    </w:p>
    <w:p w14:paraId="28E659CE" w14:textId="3F587F26" w:rsidR="0097370B" w:rsidRPr="0097370B" w:rsidRDefault="0097370B" w:rsidP="0097370B">
      <w:pPr>
        <w:pStyle w:val="ListBullet"/>
      </w:pPr>
      <w:r w:rsidRPr="0097370B">
        <w:t>increasing participation and diversity in the arts</w:t>
      </w:r>
    </w:p>
    <w:p w14:paraId="280FF4F3" w14:textId="527F3388" w:rsidR="0097370B" w:rsidRPr="0097370B" w:rsidRDefault="0097370B" w:rsidP="0097370B">
      <w:pPr>
        <w:pStyle w:val="ListBullet"/>
      </w:pPr>
      <w:r w:rsidRPr="0097370B">
        <w:t>embedding the arts and creative industries across our work</w:t>
      </w:r>
    </w:p>
    <w:p w14:paraId="148EB624" w14:textId="7E1A103C" w:rsidR="00D430D6" w:rsidRDefault="0097370B" w:rsidP="0097370B">
      <w:pPr>
        <w:pStyle w:val="ListBullet"/>
      </w:pPr>
      <w:r w:rsidRPr="0097370B">
        <w:t>harnessing arts and cultural settings as powerful enablers to influence awareness, attitudes and behaviour.</w:t>
      </w:r>
    </w:p>
    <w:p w14:paraId="0C10AD44" w14:textId="06104CB0" w:rsidR="0097370B" w:rsidRPr="0097370B" w:rsidRDefault="0097370B" w:rsidP="0097370B">
      <w:pPr>
        <w:pStyle w:val="BodyText"/>
        <w:rPr>
          <w:lang w:eastAsia="en-AU"/>
        </w:rPr>
      </w:pPr>
      <w:r w:rsidRPr="0097370B">
        <w:rPr>
          <w:lang w:eastAsia="en-AU"/>
        </w:rPr>
        <w:t xml:space="preserve">In 2013, we released our </w:t>
      </w:r>
      <w:hyperlink r:id="rId9" w:history="1">
        <w:r w:rsidRPr="00521BAE">
          <w:rPr>
            <w:rStyle w:val="Hyperlink"/>
            <w:lang w:eastAsia="en-AU"/>
          </w:rPr>
          <w:t>Action Agenda for Health Promotion</w:t>
        </w:r>
      </w:hyperlink>
      <w:r w:rsidRPr="0097370B">
        <w:rPr>
          <w:lang w:eastAsia="en-AU"/>
        </w:rPr>
        <w:t>, which set our strategic direction for the 10 years to 2023. During this time, our three arts strategies have driven a broad range of innovative collaborations and investments to enhance health and wellbeing.</w:t>
      </w:r>
    </w:p>
    <w:p w14:paraId="76D3C844" w14:textId="4AA94B56" w:rsidR="0097370B" w:rsidRPr="0097370B" w:rsidRDefault="0097370B" w:rsidP="0097370B">
      <w:pPr>
        <w:pStyle w:val="BodyText"/>
        <w:rPr>
          <w:lang w:eastAsia="en-AU"/>
        </w:rPr>
      </w:pPr>
      <w:r w:rsidRPr="0097370B">
        <w:rPr>
          <w:lang w:eastAsia="en-AU"/>
        </w:rPr>
        <w:t xml:space="preserve">Our </w:t>
      </w:r>
      <w:hyperlink r:id="rId10" w:history="1">
        <w:r w:rsidRPr="00521BAE">
          <w:rPr>
            <w:rStyle w:val="Hyperlink"/>
            <w:lang w:eastAsia="en-AU"/>
          </w:rPr>
          <w:t>Building Health Through Arts and New Media Strategy 2013</w:t>
        </w:r>
      </w:hyperlink>
      <w:r w:rsidRPr="0097370B">
        <w:rPr>
          <w:lang w:eastAsia="en-AU"/>
        </w:rPr>
        <w:t xml:space="preserve"> provided significant knowledge on the needs of local government in establishing sustainable arts activity through LEAP </w:t>
      </w:r>
      <w:hyperlink r:id="rId11" w:history="1">
        <w:r w:rsidRPr="00521BAE">
          <w:rPr>
            <w:rStyle w:val="Hyperlink"/>
            <w:lang w:eastAsia="en-AU"/>
          </w:rPr>
          <w:t>Localities Enhancing Arts Participation</w:t>
        </w:r>
      </w:hyperlink>
      <w:r w:rsidRPr="0097370B">
        <w:rPr>
          <w:lang w:eastAsia="en-AU"/>
        </w:rPr>
        <w:t xml:space="preserve">, tested approaches that raised awareness about race-based discrimination in local communities through </w:t>
      </w:r>
      <w:hyperlink r:id="rId12" w:history="1">
        <w:r w:rsidRPr="00521BAE">
          <w:rPr>
            <w:rStyle w:val="Hyperlink"/>
            <w:lang w:eastAsia="en-AU"/>
          </w:rPr>
          <w:t>Arts About Us (I &amp; II)</w:t>
        </w:r>
      </w:hyperlink>
      <w:r w:rsidRPr="0097370B">
        <w:rPr>
          <w:lang w:eastAsia="en-AU"/>
        </w:rPr>
        <w:t xml:space="preserve"> and piloted innovative media platforms to build participation and community engagement through the </w:t>
      </w:r>
      <w:hyperlink r:id="rId13" w:history="1">
        <w:r w:rsidRPr="00521BAE">
          <w:rPr>
            <w:rStyle w:val="Hyperlink"/>
            <w:lang w:eastAsia="en-AU"/>
          </w:rPr>
          <w:t>Technology, Arts and Social Connection</w:t>
        </w:r>
      </w:hyperlink>
      <w:r w:rsidRPr="0097370B">
        <w:rPr>
          <w:lang w:eastAsia="en-AU"/>
        </w:rPr>
        <w:t xml:space="preserve"> program.</w:t>
      </w:r>
    </w:p>
    <w:p w14:paraId="35B6CC3E" w14:textId="0DE1053D" w:rsidR="0097370B" w:rsidRPr="0097370B" w:rsidRDefault="0097370B" w:rsidP="0097370B">
      <w:pPr>
        <w:pStyle w:val="BodyText"/>
        <w:rPr>
          <w:lang w:eastAsia="en-AU"/>
        </w:rPr>
      </w:pPr>
      <w:r w:rsidRPr="0097370B">
        <w:rPr>
          <w:lang w:eastAsia="en-AU"/>
        </w:rPr>
        <w:t xml:space="preserve">The </w:t>
      </w:r>
      <w:hyperlink r:id="rId14" w:history="1">
        <w:r w:rsidRPr="00521BAE">
          <w:rPr>
            <w:rStyle w:val="Hyperlink"/>
            <w:lang w:eastAsia="en-AU"/>
          </w:rPr>
          <w:t>Active Arts Strategy 2014–2017</w:t>
        </w:r>
      </w:hyperlink>
      <w:r w:rsidRPr="0097370B">
        <w:rPr>
          <w:lang w:eastAsia="en-AU"/>
        </w:rPr>
        <w:t xml:space="preserve"> established partnerships between premier arts organisations and councils to activate selected spaces in local communities, with some becoming permanent sites for physical activity through the </w:t>
      </w:r>
      <w:hyperlink r:id="rId15" w:history="1">
        <w:r w:rsidRPr="00521BAE">
          <w:rPr>
            <w:rStyle w:val="Hyperlink"/>
            <w:lang w:eastAsia="en-AU"/>
          </w:rPr>
          <w:t>Community Activations Program</w:t>
        </w:r>
      </w:hyperlink>
      <w:r w:rsidRPr="0097370B">
        <w:rPr>
          <w:lang w:eastAsia="en-AU"/>
        </w:rPr>
        <w:t xml:space="preserve">. This work was complemented by investments in mass community-participation events such as </w:t>
      </w:r>
      <w:hyperlink r:id="rId16" w:history="1">
        <w:r w:rsidRPr="00521BAE">
          <w:rPr>
            <w:rStyle w:val="Hyperlink"/>
            <w:lang w:eastAsia="en-AU"/>
          </w:rPr>
          <w:t>White Night</w:t>
        </w:r>
      </w:hyperlink>
      <w:r w:rsidRPr="0097370B">
        <w:rPr>
          <w:lang w:eastAsia="en-AU"/>
        </w:rPr>
        <w:t xml:space="preserve">, </w:t>
      </w:r>
      <w:hyperlink r:id="rId17" w:history="1">
        <w:r w:rsidRPr="00521BAE">
          <w:rPr>
            <w:rStyle w:val="Hyperlink"/>
            <w:lang w:eastAsia="en-AU"/>
          </w:rPr>
          <w:t>Fun Run</w:t>
        </w:r>
      </w:hyperlink>
      <w:r w:rsidRPr="0097370B">
        <w:rPr>
          <w:lang w:eastAsia="en-AU"/>
        </w:rPr>
        <w:t xml:space="preserve">, </w:t>
      </w:r>
      <w:hyperlink r:id="rId18" w:history="1">
        <w:r w:rsidRPr="00521BAE">
          <w:rPr>
            <w:rStyle w:val="Hyperlink"/>
            <w:lang w:eastAsia="en-AU"/>
          </w:rPr>
          <w:t>Big Dance 2018</w:t>
        </w:r>
      </w:hyperlink>
      <w:r w:rsidRPr="0097370B">
        <w:rPr>
          <w:lang w:eastAsia="en-AU"/>
        </w:rPr>
        <w:t xml:space="preserve"> and </w:t>
      </w:r>
      <w:hyperlink r:id="rId19" w:history="1">
        <w:r w:rsidRPr="00521BAE">
          <w:rPr>
            <w:rStyle w:val="Hyperlink"/>
            <w:lang w:eastAsia="en-AU"/>
          </w:rPr>
          <w:t>The Gallery Workout</w:t>
        </w:r>
      </w:hyperlink>
      <w:r w:rsidRPr="0097370B">
        <w:rPr>
          <w:lang w:eastAsia="en-AU"/>
        </w:rPr>
        <w:t>.</w:t>
      </w:r>
    </w:p>
    <w:p w14:paraId="23076B0B" w14:textId="1B458452" w:rsidR="0097370B" w:rsidRPr="00D430D6" w:rsidRDefault="0097370B" w:rsidP="0097370B">
      <w:pPr>
        <w:pStyle w:val="BodyText"/>
        <w:rPr>
          <w:lang w:eastAsia="en-AU"/>
        </w:rPr>
      </w:pPr>
      <w:r w:rsidRPr="0097370B">
        <w:rPr>
          <w:lang w:eastAsia="en-AU"/>
        </w:rPr>
        <w:t xml:space="preserve">Our </w:t>
      </w:r>
      <w:hyperlink r:id="rId20" w:history="1">
        <w:r w:rsidRPr="00521BAE">
          <w:rPr>
            <w:rStyle w:val="Hyperlink"/>
            <w:lang w:eastAsia="en-AU"/>
          </w:rPr>
          <w:t>Arts Strategy 2017–19</w:t>
        </w:r>
      </w:hyperlink>
      <w:r w:rsidRPr="0097370B">
        <w:rPr>
          <w:lang w:eastAsia="en-AU"/>
        </w:rPr>
        <w:t xml:space="preserve"> delivered programs that explored the role that arts can play in addressing complex social questions such as youth mental wellbeing, resilience and </w:t>
      </w:r>
      <w:hyperlink r:id="rId21" w:history="1">
        <w:r w:rsidRPr="00521BAE">
          <w:rPr>
            <w:rStyle w:val="Hyperlink"/>
            <w:lang w:eastAsia="en-AU"/>
          </w:rPr>
          <w:t>gender equality</w:t>
        </w:r>
      </w:hyperlink>
      <w:r w:rsidRPr="0097370B">
        <w:rPr>
          <w:lang w:eastAsia="en-AU"/>
        </w:rPr>
        <w:t xml:space="preserve">. A partnership with Creative Victoria and other Victorian Government departments and creative agencies was established to help tackle some of the big social challenges that affect social isolation and gender equality through the </w:t>
      </w:r>
      <w:hyperlink r:id="rId22" w:history="1">
        <w:r w:rsidRPr="00521BAE">
          <w:rPr>
            <w:rStyle w:val="Hyperlink"/>
            <w:lang w:eastAsia="en-AU"/>
          </w:rPr>
          <w:t>Future Makers for Change</w:t>
        </w:r>
      </w:hyperlink>
      <w:r w:rsidRPr="0097370B">
        <w:rPr>
          <w:lang w:eastAsia="en-AU"/>
        </w:rPr>
        <w:t xml:space="preserve"> program.</w:t>
      </w:r>
    </w:p>
    <w:p w14:paraId="15011C1C" w14:textId="77777777" w:rsidR="00A47A35" w:rsidRDefault="00A47A35">
      <w:pPr>
        <w:spacing w:before="0" w:after="200" w:line="276" w:lineRule="auto"/>
      </w:pPr>
      <w:r>
        <w:br w:type="page"/>
      </w:r>
    </w:p>
    <w:p w14:paraId="6958F9A1" w14:textId="59D8736B" w:rsidR="00A47A35" w:rsidRDefault="00A47A35" w:rsidP="00A47A35">
      <w:pPr>
        <w:pStyle w:val="Heading1"/>
      </w:pPr>
      <w:r w:rsidRPr="00A47A35">
        <w:lastRenderedPageBreak/>
        <w:t>What we aim to achieve</w:t>
      </w:r>
    </w:p>
    <w:p w14:paraId="7F173226" w14:textId="5F8890C7" w:rsidR="000C7D4C" w:rsidRDefault="000C7D4C" w:rsidP="000C7D4C">
      <w:pPr>
        <w:pStyle w:val="Heading2"/>
      </w:pPr>
      <w:r>
        <w:t>Focus area</w:t>
      </w:r>
      <w:r w:rsidR="00400E12">
        <w:t>:</w:t>
      </w:r>
    </w:p>
    <w:p w14:paraId="43FD7AD4" w14:textId="22EB7C5C" w:rsidR="000C7D4C" w:rsidRPr="00400E12" w:rsidRDefault="0097370B" w:rsidP="00400E12">
      <w:pPr>
        <w:pStyle w:val="Heading2"/>
      </w:pPr>
      <w:r w:rsidRPr="00400E12">
        <w:t>Increasing participation and diversity in the arts</w:t>
      </w:r>
    </w:p>
    <w:p w14:paraId="133E5AC9" w14:textId="77777777" w:rsidR="0097370B" w:rsidRPr="0097370B" w:rsidRDefault="0097370B" w:rsidP="0097370B">
      <w:pPr>
        <w:pStyle w:val="BodyText"/>
        <w:rPr>
          <w:lang w:eastAsia="en-AU"/>
        </w:rPr>
      </w:pPr>
      <w:r w:rsidRPr="0097370B">
        <w:rPr>
          <w:lang w:eastAsia="en-AU"/>
        </w:rPr>
        <w:t>While we seek to improve the health of all Victorians, engaging hard-to-reach audiences who have poorer physical and mental health than the general population is critical to creating greater opportunity for health, wellbeing and fairness in health outcomes. Research shows that the more people participate in the arts in their everyday lives, the better their health outcomes (Davies et al. 2016).</w:t>
      </w:r>
    </w:p>
    <w:p w14:paraId="5A2D97D3" w14:textId="77777777" w:rsidR="0097370B" w:rsidRPr="0097370B" w:rsidRDefault="0097370B" w:rsidP="0097370B">
      <w:pPr>
        <w:pStyle w:val="BodyText"/>
        <w:rPr>
          <w:lang w:eastAsia="en-AU"/>
        </w:rPr>
      </w:pPr>
      <w:r w:rsidRPr="0097370B">
        <w:rPr>
          <w:lang w:eastAsia="en-AU"/>
        </w:rPr>
        <w:t>Over the next four years, we will:</w:t>
      </w:r>
    </w:p>
    <w:p w14:paraId="22266C72" w14:textId="07DB82FD" w:rsidR="0097370B" w:rsidRPr="0097370B" w:rsidRDefault="0097370B" w:rsidP="0097370B">
      <w:pPr>
        <w:pStyle w:val="ListBullet"/>
      </w:pPr>
      <w:r w:rsidRPr="0097370B">
        <w:t>strengthen our collaboration with local government, research partners and the arts sector to increase access for everyone to everyday creativity and its health benefits</w:t>
      </w:r>
    </w:p>
    <w:p w14:paraId="371B0F61" w14:textId="383C8158" w:rsidR="0097370B" w:rsidRPr="0097370B" w:rsidRDefault="0097370B" w:rsidP="0097370B">
      <w:pPr>
        <w:pStyle w:val="ListBullet"/>
      </w:pPr>
      <w:r w:rsidRPr="0097370B">
        <w:t>build the capacity of arts organisations and local government to co-create activity with marginalised communities.</w:t>
      </w:r>
    </w:p>
    <w:p w14:paraId="2429DE65" w14:textId="77777777" w:rsidR="0097370B" w:rsidRPr="00400E12" w:rsidRDefault="0097370B" w:rsidP="00400E12">
      <w:pPr>
        <w:pStyle w:val="Heading3"/>
      </w:pPr>
      <w:r w:rsidRPr="00400E12">
        <w:t>What will success look like?</w:t>
      </w:r>
    </w:p>
    <w:p w14:paraId="7545A094" w14:textId="77777777" w:rsidR="0097370B" w:rsidRPr="0097370B" w:rsidRDefault="0097370B" w:rsidP="0097370B">
      <w:pPr>
        <w:pStyle w:val="BodyText"/>
        <w:rPr>
          <w:lang w:eastAsia="en-AU"/>
        </w:rPr>
      </w:pPr>
      <w:r w:rsidRPr="0097370B">
        <w:rPr>
          <w:lang w:eastAsia="en-AU"/>
        </w:rPr>
        <w:t>Strong partnerships with a range of organisations to increase access to everyday creativity.</w:t>
      </w:r>
    </w:p>
    <w:p w14:paraId="3F9AF9EF" w14:textId="0B2E5072" w:rsidR="000C7D4C" w:rsidRDefault="0097370B" w:rsidP="0097370B">
      <w:pPr>
        <w:pStyle w:val="BodyText"/>
        <w:rPr>
          <w:lang w:eastAsia="en-AU"/>
        </w:rPr>
      </w:pPr>
      <w:r w:rsidRPr="0097370B">
        <w:rPr>
          <w:lang w:eastAsia="en-AU"/>
        </w:rPr>
        <w:t>More co-creation opportunities for arts organisations and local government to provide marginalised communities with access to arts activities with health benefits.</w:t>
      </w:r>
    </w:p>
    <w:p w14:paraId="1701CF3A" w14:textId="3B77B4C5" w:rsidR="00400E12" w:rsidRPr="00400E12" w:rsidRDefault="00400E12" w:rsidP="00400E12">
      <w:pPr>
        <w:pStyle w:val="Heading2"/>
      </w:pPr>
      <w:r w:rsidRPr="00400E12">
        <w:t>Focus area:</w:t>
      </w:r>
    </w:p>
    <w:p w14:paraId="4434394B" w14:textId="1527129D" w:rsidR="000C7D4C" w:rsidRPr="00400E12" w:rsidRDefault="0097370B" w:rsidP="00400E12">
      <w:pPr>
        <w:pStyle w:val="Heading2"/>
      </w:pPr>
      <w:r w:rsidRPr="00400E12">
        <w:t>Embedding the arts and creative industries across our work</w:t>
      </w:r>
    </w:p>
    <w:p w14:paraId="3FDF1E57" w14:textId="77777777" w:rsidR="0097370B" w:rsidRPr="0097370B" w:rsidRDefault="0097370B" w:rsidP="0097370B">
      <w:pPr>
        <w:pStyle w:val="BodyText"/>
      </w:pPr>
      <w:r w:rsidRPr="0097370B">
        <w:t>There is clear evidence that the arts have a range of benefits for health and wellbeing (Australian Government 2014).</w:t>
      </w:r>
    </w:p>
    <w:p w14:paraId="6D9BBD87" w14:textId="77777777" w:rsidR="0097370B" w:rsidRPr="0097370B" w:rsidRDefault="0097370B" w:rsidP="0097370B">
      <w:pPr>
        <w:pStyle w:val="BodyText"/>
      </w:pPr>
      <w:r w:rsidRPr="0097370B">
        <w:t>Evidence for the strong interrelationship between participation in the arts and positive individual and community health outcomes continues to evolve through our new focus on aligning arts investment with our five strategic imperatives: alcohol, healthy eating, mental wellbeing, physical activity and tobacco.</w:t>
      </w:r>
    </w:p>
    <w:p w14:paraId="0AC2E0A7" w14:textId="77777777" w:rsidR="0097370B" w:rsidRPr="0097370B" w:rsidRDefault="0097370B" w:rsidP="0097370B">
      <w:pPr>
        <w:pStyle w:val="BodyText"/>
      </w:pPr>
      <w:r w:rsidRPr="0097370B">
        <w:t>Through the arts, we aim to improve population health and reduce health inequities by promoting healthy lifestyles, discussing sensitive health issues, communicating health- related concerns and increasing health literacy. Over the next four years, we will:</w:t>
      </w:r>
    </w:p>
    <w:p w14:paraId="71311CD7" w14:textId="01123EBB" w:rsidR="0097370B" w:rsidRPr="0097370B" w:rsidRDefault="0097370B" w:rsidP="0097370B">
      <w:pPr>
        <w:pStyle w:val="ListBullet"/>
      </w:pPr>
      <w:r w:rsidRPr="0097370B">
        <w:t>review and publish evidence of the contribution that the arts, cultural activities, environments and creative industries make in addressing diverse health issues</w:t>
      </w:r>
    </w:p>
    <w:p w14:paraId="042C4A76" w14:textId="128272D5" w:rsidR="0097370B" w:rsidRPr="0097370B" w:rsidRDefault="0097370B" w:rsidP="0097370B">
      <w:pPr>
        <w:pStyle w:val="ListBullet"/>
      </w:pPr>
      <w:r w:rsidRPr="0097370B">
        <w:t>support new partnerships with arts organisations and sectors that involve the public in solutions to prevent harm from mental health conditions, gender inequality, alcohol, physical inactivity, tobacco and unhealthy eating.</w:t>
      </w:r>
    </w:p>
    <w:p w14:paraId="32314924" w14:textId="77777777" w:rsidR="0097370B" w:rsidRPr="00400E12" w:rsidRDefault="0097370B" w:rsidP="00400E12">
      <w:pPr>
        <w:pStyle w:val="Heading3"/>
      </w:pPr>
      <w:r w:rsidRPr="00400E12">
        <w:t>What will success look like?</w:t>
      </w:r>
    </w:p>
    <w:p w14:paraId="27CFAD5E" w14:textId="77777777" w:rsidR="0097370B" w:rsidRPr="0097370B" w:rsidRDefault="0097370B" w:rsidP="0097370B">
      <w:pPr>
        <w:pStyle w:val="BodyText"/>
      </w:pPr>
      <w:r w:rsidRPr="0097370B">
        <w:t>Dissemination of the evidence that arts-related activities can help to address a range of health issues.</w:t>
      </w:r>
    </w:p>
    <w:p w14:paraId="33F037D8" w14:textId="6C8EC07C" w:rsidR="000C7D4C" w:rsidRDefault="0097370B" w:rsidP="0097370B">
      <w:pPr>
        <w:pStyle w:val="BodyText"/>
      </w:pPr>
      <w:r w:rsidRPr="0097370B">
        <w:t>Encourage new and diverse partnerships that encourage the public and stakeholders to address health issues.</w:t>
      </w:r>
    </w:p>
    <w:p w14:paraId="3AB54436" w14:textId="77777777" w:rsidR="00400E12" w:rsidRDefault="00400E12">
      <w:pPr>
        <w:spacing w:before="0" w:after="200" w:line="276" w:lineRule="auto"/>
        <w:rPr>
          <w:rFonts w:eastAsia="Times New Roman" w:cs="Arial"/>
          <w:b/>
          <w:iCs/>
          <w:sz w:val="26"/>
          <w:szCs w:val="28"/>
          <w:lang w:eastAsia="en-AU"/>
        </w:rPr>
      </w:pPr>
      <w:r>
        <w:br w:type="page"/>
      </w:r>
    </w:p>
    <w:p w14:paraId="3B7B55C6" w14:textId="4C502C03" w:rsidR="00400E12" w:rsidRPr="00400E12" w:rsidRDefault="00400E12" w:rsidP="00400E12">
      <w:pPr>
        <w:pStyle w:val="Heading2"/>
      </w:pPr>
      <w:r w:rsidRPr="00400E12">
        <w:lastRenderedPageBreak/>
        <w:t>Focus area:</w:t>
      </w:r>
    </w:p>
    <w:p w14:paraId="5A76EA5F" w14:textId="6B8EAF0A" w:rsidR="000C7D4C" w:rsidRPr="00400E12" w:rsidRDefault="0097370B" w:rsidP="00400E12">
      <w:pPr>
        <w:pStyle w:val="Heading2"/>
      </w:pPr>
      <w:r w:rsidRPr="00400E12">
        <w:t>Harnessing arts and cultural settings as powerful enablers to influence awareness, attitudes and behaviours</w:t>
      </w:r>
    </w:p>
    <w:p w14:paraId="4F6F4386" w14:textId="77777777" w:rsidR="00F9739B" w:rsidRPr="00F9739B" w:rsidRDefault="00F9739B" w:rsidP="00F9739B">
      <w:pPr>
        <w:pStyle w:val="BodyText"/>
      </w:pPr>
      <w:r w:rsidRPr="00F9739B">
        <w:t>The arts and cultural settings are important environments that can support a range of preventive health strategies. In the next four years, we will:</w:t>
      </w:r>
    </w:p>
    <w:p w14:paraId="7A7E44EB" w14:textId="7F0E7F4A" w:rsidR="00F9739B" w:rsidRPr="00F9739B" w:rsidRDefault="00F9739B" w:rsidP="00F9739B">
      <w:pPr>
        <w:pStyle w:val="ListBullet"/>
      </w:pPr>
      <w:r w:rsidRPr="00F9739B">
        <w:t>collaborate with local government, the arts, and cultural settings to influence and embed policy and practice to provide healthier food and drink options and environments</w:t>
      </w:r>
    </w:p>
    <w:p w14:paraId="5926D206" w14:textId="3C063F42" w:rsidR="00F9739B" w:rsidRPr="00F9739B" w:rsidRDefault="00F9739B" w:rsidP="00F9739B">
      <w:pPr>
        <w:pStyle w:val="ListBullet"/>
      </w:pPr>
      <w:r w:rsidRPr="00F9739B">
        <w:t>design and test programs that help create healthier arts and cultural environments.</w:t>
      </w:r>
    </w:p>
    <w:p w14:paraId="41540453" w14:textId="77777777" w:rsidR="00F9739B" w:rsidRPr="00400E12" w:rsidRDefault="00F9739B" w:rsidP="00400E12">
      <w:pPr>
        <w:pStyle w:val="Heading3"/>
      </w:pPr>
      <w:r w:rsidRPr="00400E12">
        <w:t>What will success look like?</w:t>
      </w:r>
    </w:p>
    <w:p w14:paraId="4F36BD51" w14:textId="77777777" w:rsidR="00F9739B" w:rsidRPr="00F9739B" w:rsidRDefault="00F9739B" w:rsidP="00F9739B">
      <w:pPr>
        <w:pStyle w:val="BodyText"/>
      </w:pPr>
      <w:r w:rsidRPr="00F9739B">
        <w:t>Healthier food and drink options and environments in more local government, arts and cultural organisations.</w:t>
      </w:r>
    </w:p>
    <w:p w14:paraId="58F83BC9" w14:textId="0209AC1D" w:rsidR="000C7D4C" w:rsidRDefault="00F9739B" w:rsidP="00F9739B">
      <w:pPr>
        <w:pStyle w:val="BodyText"/>
      </w:pPr>
      <w:r w:rsidRPr="00F9739B">
        <w:t>Successful trials and new evidence of what makes for healthier arts and cultural environments.</w:t>
      </w:r>
    </w:p>
    <w:p w14:paraId="764A84FD" w14:textId="77777777" w:rsidR="00F33CAC" w:rsidRDefault="00F33CAC">
      <w:pPr>
        <w:spacing w:before="0" w:after="200" w:line="276" w:lineRule="auto"/>
        <w:rPr>
          <w:rFonts w:eastAsia="Times New Roman" w:cs="Arial"/>
          <w:b/>
          <w:bCs/>
          <w:sz w:val="32"/>
          <w:szCs w:val="32"/>
          <w:lang w:eastAsia="en-AU"/>
        </w:rPr>
      </w:pPr>
      <w:r>
        <w:br w:type="page"/>
      </w:r>
    </w:p>
    <w:p w14:paraId="58090E64" w14:textId="134F11AA" w:rsidR="00F33CAC" w:rsidRDefault="00F33CAC" w:rsidP="00F33CAC">
      <w:pPr>
        <w:pStyle w:val="Heading1"/>
      </w:pPr>
      <w:r>
        <w:lastRenderedPageBreak/>
        <w:t xml:space="preserve">Supporting </w:t>
      </w:r>
      <w:r w:rsidR="00400E12">
        <w:t>e</w:t>
      </w:r>
      <w:r>
        <w:t>vidence</w:t>
      </w:r>
    </w:p>
    <w:p w14:paraId="63BCF5CE" w14:textId="77777777" w:rsidR="00F9739B" w:rsidRPr="00F9739B" w:rsidRDefault="00F9739B" w:rsidP="00F9739B">
      <w:pPr>
        <w:pStyle w:val="BodyText"/>
        <w:rPr>
          <w:lang w:eastAsia="en-AU"/>
        </w:rPr>
      </w:pPr>
      <w:r w:rsidRPr="00F9739B">
        <w:rPr>
          <w:lang w:eastAsia="en-AU"/>
        </w:rPr>
        <w:t>Our longstanding commitment to the arts is based on our knowledge that participation in the arts and cultural activities has a positive impact on health and wellbeing. The arts provide an important community setting for health promotion, a partnership model for the co-design and delivery of initiatives, a unique participatory experience with the potential to build connection and a vehicle to inform and create behavioural change. This understanding paves the way for our Arts Strategy over the next four years.</w:t>
      </w:r>
    </w:p>
    <w:p w14:paraId="632EBC25" w14:textId="77777777" w:rsidR="00F9739B" w:rsidRPr="00F9739B" w:rsidRDefault="00F9739B" w:rsidP="00F9739B">
      <w:pPr>
        <w:pStyle w:val="BodyText"/>
        <w:rPr>
          <w:lang w:eastAsia="en-AU"/>
        </w:rPr>
      </w:pPr>
      <w:r w:rsidRPr="00F9739B">
        <w:rPr>
          <w:lang w:eastAsia="en-AU"/>
        </w:rPr>
        <w:t>The evidence for the benefits of participation in the arts across the life cycle is strong:</w:t>
      </w:r>
    </w:p>
    <w:p w14:paraId="12F4CF41" w14:textId="2E800DBA" w:rsidR="00F9739B" w:rsidRPr="00F9739B" w:rsidRDefault="00F9739B" w:rsidP="00F9739B">
      <w:pPr>
        <w:pStyle w:val="ListBullet"/>
      </w:pPr>
      <w:r w:rsidRPr="00F9739B">
        <w:t>In early childhood, participation is associated with positive social and emotional development, particularly for children from disadvantaged backgrounds (</w:t>
      </w:r>
      <w:proofErr w:type="spellStart"/>
      <w:r w:rsidRPr="00F9739B">
        <w:t>Menzer</w:t>
      </w:r>
      <w:proofErr w:type="spellEnd"/>
      <w:r w:rsidRPr="00F9739B">
        <w:t xml:space="preserve"> 2015).</w:t>
      </w:r>
    </w:p>
    <w:p w14:paraId="54BFB519" w14:textId="4355D9C2" w:rsidR="00F9739B" w:rsidRPr="00F9739B" w:rsidRDefault="00F9739B" w:rsidP="00F9739B">
      <w:pPr>
        <w:pStyle w:val="ListBullet"/>
      </w:pPr>
      <w:r w:rsidRPr="00F9739B">
        <w:t>For young people, participation is associated with strong social and emotional skills, including better peer interaction and self-confidence (DSG 2016).</w:t>
      </w:r>
    </w:p>
    <w:p w14:paraId="59935AAB" w14:textId="56AAD813" w:rsidR="00F9739B" w:rsidRPr="00F9739B" w:rsidRDefault="00F9739B" w:rsidP="00F9739B">
      <w:pPr>
        <w:pStyle w:val="ListBullet"/>
      </w:pPr>
      <w:r w:rsidRPr="00F9739B">
        <w:t>Younger Australians (aged 15–24 years) create and experience the arts at the highest rates (Australia Council for the Arts 2017a).</w:t>
      </w:r>
    </w:p>
    <w:p w14:paraId="050A431E" w14:textId="18BF59E4" w:rsidR="00F9739B" w:rsidRPr="00F9739B" w:rsidRDefault="00F9739B" w:rsidP="00F9739B">
      <w:pPr>
        <w:pStyle w:val="ListBullet"/>
      </w:pPr>
      <w:r w:rsidRPr="00F9739B">
        <w:t>For older people, participation is associated with positive cognitive, mood and quality of life outcomes (</w:t>
      </w:r>
      <w:proofErr w:type="spellStart"/>
      <w:r w:rsidRPr="00F9739B">
        <w:t>Noice</w:t>
      </w:r>
      <w:proofErr w:type="spellEnd"/>
      <w:r w:rsidRPr="00F9739B">
        <w:t xml:space="preserve"> et al. 2013).</w:t>
      </w:r>
    </w:p>
    <w:p w14:paraId="75BD8613" w14:textId="09B48CA2" w:rsidR="00F9739B" w:rsidRPr="00F9739B" w:rsidRDefault="00F9739B" w:rsidP="00F9739B">
      <w:pPr>
        <w:pStyle w:val="ListBullet"/>
      </w:pPr>
      <w:r w:rsidRPr="00F9739B">
        <w:t>Arts programs can lead to improvements in parenting, mental health, social inclusion and ability to absorb health information (</w:t>
      </w:r>
      <w:proofErr w:type="spellStart"/>
      <w:r w:rsidRPr="00F9739B">
        <w:t>Ings</w:t>
      </w:r>
      <w:proofErr w:type="spellEnd"/>
      <w:r w:rsidRPr="00F9739B">
        <w:t xml:space="preserve"> et al. 2012).</w:t>
      </w:r>
    </w:p>
    <w:p w14:paraId="02CD7F3E" w14:textId="52C22630" w:rsidR="00F9739B" w:rsidRPr="00F9739B" w:rsidRDefault="00F9739B" w:rsidP="00F9739B">
      <w:pPr>
        <w:pStyle w:val="ListBullet"/>
      </w:pPr>
      <w:r w:rsidRPr="00F9739B">
        <w:t>Arts projects can lead to greater empowerment and social inclusion and better mental health (</w:t>
      </w:r>
      <w:proofErr w:type="spellStart"/>
      <w:r w:rsidRPr="00F9739B">
        <w:t>Everitt</w:t>
      </w:r>
      <w:proofErr w:type="spellEnd"/>
      <w:r w:rsidRPr="00F9739B">
        <w:t xml:space="preserve"> &amp; Hamilton 2003).</w:t>
      </w:r>
    </w:p>
    <w:p w14:paraId="20971636" w14:textId="77777777" w:rsidR="00F9739B" w:rsidRPr="00F9739B" w:rsidRDefault="00F9739B" w:rsidP="00F9739B">
      <w:pPr>
        <w:pStyle w:val="BodyText"/>
        <w:rPr>
          <w:lang w:eastAsia="en-AU"/>
        </w:rPr>
      </w:pPr>
      <w:r w:rsidRPr="00F9739B">
        <w:rPr>
          <w:lang w:eastAsia="en-AU"/>
        </w:rPr>
        <w:t>The evidence for the benefits of the arts for health and wellbeing continues to evolve, including the frequency of arts participation required for health benefit. People with 100 or more hours per year of arts engagement (at least two hours a week) were found to have significantly better mental wellbeing than those with no or lower levels of engagement (Davies et al. 2016).</w:t>
      </w:r>
    </w:p>
    <w:p w14:paraId="173EFCA0" w14:textId="1573CAFC" w:rsidR="00F9739B" w:rsidRPr="00F9739B" w:rsidRDefault="00F9739B" w:rsidP="00F9739B">
      <w:pPr>
        <w:pStyle w:val="BodyText"/>
        <w:rPr>
          <w:lang w:eastAsia="en-AU"/>
        </w:rPr>
      </w:pPr>
      <w:r w:rsidRPr="00F9739B">
        <w:rPr>
          <w:lang w:eastAsia="en-AU"/>
        </w:rPr>
        <w:t>While participation in the arts is known to play an increasingly powerful role</w:t>
      </w:r>
      <w:r>
        <w:t xml:space="preserve"> </w:t>
      </w:r>
      <w:r w:rsidRPr="00F9739B">
        <w:rPr>
          <w:lang w:eastAsia="en-AU"/>
        </w:rPr>
        <w:t>in promoting social cohesion (Australia Council for the Arts 2017b), promising research has indicated that small participatory arts projects in disadvantaged areas of London also resulted in 55 per cent of participants reporting an increase in healthy eating, 76 per cent an increase in physical activity and 85 per cent feeling more positive (</w:t>
      </w:r>
      <w:proofErr w:type="spellStart"/>
      <w:r w:rsidRPr="00F9739B">
        <w:rPr>
          <w:lang w:eastAsia="en-AU"/>
        </w:rPr>
        <w:t>Ings</w:t>
      </w:r>
      <w:proofErr w:type="spellEnd"/>
      <w:r w:rsidRPr="00F9739B">
        <w:rPr>
          <w:lang w:eastAsia="en-AU"/>
        </w:rPr>
        <w:t xml:space="preserve"> et al. 2012).</w:t>
      </w:r>
    </w:p>
    <w:p w14:paraId="14032736" w14:textId="47809143" w:rsidR="00F33CAC" w:rsidRDefault="00F9739B" w:rsidP="00F9739B">
      <w:pPr>
        <w:pStyle w:val="BodyText"/>
        <w:rPr>
          <w:lang w:eastAsia="en-AU"/>
        </w:rPr>
      </w:pPr>
      <w:r w:rsidRPr="00F9739B">
        <w:rPr>
          <w:lang w:eastAsia="en-AU"/>
        </w:rPr>
        <w:t>Consolidating what we know and building new knowledge in these areas will form the major focus of our work in 2019 and beyond.</w:t>
      </w:r>
    </w:p>
    <w:p w14:paraId="2A51A0FE" w14:textId="597570EA" w:rsidR="003E4893" w:rsidRDefault="003E4893" w:rsidP="00F9739B">
      <w:pPr>
        <w:pStyle w:val="BodyText"/>
        <w:rPr>
          <w:lang w:eastAsia="en-AU"/>
        </w:rPr>
      </w:pPr>
    </w:p>
    <w:p w14:paraId="0979A6C4" w14:textId="3440C897" w:rsidR="003E4893" w:rsidRDefault="003E4893" w:rsidP="00F9739B">
      <w:pPr>
        <w:pStyle w:val="BodyText"/>
        <w:rPr>
          <w:lang w:eastAsia="en-AU"/>
        </w:rPr>
      </w:pPr>
    </w:p>
    <w:p w14:paraId="345C24A5" w14:textId="03DE11B1" w:rsidR="003E4893" w:rsidRDefault="003E4893" w:rsidP="00F9739B">
      <w:pPr>
        <w:pStyle w:val="BodyText"/>
        <w:rPr>
          <w:lang w:eastAsia="en-AU"/>
        </w:rPr>
      </w:pPr>
    </w:p>
    <w:p w14:paraId="795956E3" w14:textId="59524FC5" w:rsidR="003E4893" w:rsidRDefault="003E4893" w:rsidP="00F9739B">
      <w:pPr>
        <w:pStyle w:val="BodyText"/>
        <w:rPr>
          <w:lang w:eastAsia="en-AU"/>
        </w:rPr>
      </w:pPr>
    </w:p>
    <w:p w14:paraId="45CB22E4" w14:textId="6C078C96" w:rsidR="003E4893" w:rsidRDefault="003E4893" w:rsidP="00F9739B">
      <w:pPr>
        <w:pStyle w:val="BodyText"/>
        <w:rPr>
          <w:lang w:eastAsia="en-AU"/>
        </w:rPr>
      </w:pPr>
    </w:p>
    <w:p w14:paraId="78A93520" w14:textId="69FDE683" w:rsidR="003E4893" w:rsidRDefault="003E4893" w:rsidP="00F9739B">
      <w:pPr>
        <w:pStyle w:val="BodyText"/>
        <w:rPr>
          <w:lang w:eastAsia="en-AU"/>
        </w:rPr>
      </w:pPr>
    </w:p>
    <w:p w14:paraId="652FC96D" w14:textId="77777777" w:rsidR="003E4893" w:rsidRPr="003E4893" w:rsidRDefault="003E4893" w:rsidP="003E4893">
      <w:pPr>
        <w:pStyle w:val="BodyText"/>
      </w:pPr>
      <w:r w:rsidRPr="003E4893">
        <w:t>VicHealth acknowledges the Traditional Custodians of the land and acknowledges and pays respect to Elders, past and present</w:t>
      </w:r>
    </w:p>
    <w:p w14:paraId="4C812633" w14:textId="77777777" w:rsidR="003E4893" w:rsidRPr="00F33CAC" w:rsidRDefault="003E4893" w:rsidP="00F9739B">
      <w:pPr>
        <w:pStyle w:val="BodyText"/>
        <w:rPr>
          <w:lang w:eastAsia="en-AU"/>
        </w:rPr>
      </w:pPr>
      <w:bookmarkStart w:id="0" w:name="_GoBack"/>
      <w:bookmarkEnd w:id="0"/>
    </w:p>
    <w:p w14:paraId="7100F8CB" w14:textId="77777777" w:rsidR="0031746B" w:rsidRDefault="0031746B">
      <w:pPr>
        <w:spacing w:before="0" w:after="200" w:line="276" w:lineRule="auto"/>
        <w:rPr>
          <w:rFonts w:eastAsia="Times New Roman" w:cs="Arial"/>
          <w:b/>
          <w:bCs/>
          <w:sz w:val="32"/>
          <w:szCs w:val="32"/>
          <w:lang w:eastAsia="en-AU"/>
        </w:rPr>
      </w:pPr>
      <w:r>
        <w:br w:type="page"/>
      </w:r>
    </w:p>
    <w:p w14:paraId="78046EFD" w14:textId="05538AD0" w:rsidR="000F47D3" w:rsidRDefault="0031746B" w:rsidP="0031746B">
      <w:pPr>
        <w:pStyle w:val="Heading1"/>
      </w:pPr>
      <w:r w:rsidRPr="0031746B">
        <w:lastRenderedPageBreak/>
        <w:t>References</w:t>
      </w:r>
    </w:p>
    <w:p w14:paraId="5B22FF1D" w14:textId="5E6570C7" w:rsidR="00F9739B" w:rsidRPr="00F9739B" w:rsidRDefault="00F9739B" w:rsidP="00F9739B">
      <w:pPr>
        <w:pStyle w:val="BodyText"/>
      </w:pPr>
      <w:r w:rsidRPr="00F9739B">
        <w:t xml:space="preserve">Australia Council for the Arts 2017a, </w:t>
      </w:r>
      <w:r w:rsidRPr="00521BAE">
        <w:rPr>
          <w:rStyle w:val="Characteritalic"/>
        </w:rPr>
        <w:t>Connecting Australians: Results of the National Arts Participation Survey</w:t>
      </w:r>
      <w:r w:rsidRPr="00F9739B">
        <w:t>, Australia Council for the Arts, Sydney, ‹</w:t>
      </w:r>
      <w:hyperlink r:id="rId23" w:history="1">
        <w:r w:rsidRPr="00521BAE">
          <w:rPr>
            <w:rStyle w:val="Hyperlink"/>
          </w:rPr>
          <w:t>https://australiacouncil.gov.au/research/connecting-australians/</w:t>
        </w:r>
      </w:hyperlink>
      <w:r w:rsidRPr="00F9739B">
        <w:t>›.</w:t>
      </w:r>
    </w:p>
    <w:p w14:paraId="68A1E33C" w14:textId="616AB8B6" w:rsidR="00F9739B" w:rsidRPr="00F9739B" w:rsidRDefault="00F9739B" w:rsidP="00F9739B">
      <w:pPr>
        <w:pStyle w:val="BodyText"/>
      </w:pPr>
      <w:r w:rsidRPr="00F9739B">
        <w:t xml:space="preserve">Australia Council for the Arts 2017b, </w:t>
      </w:r>
      <w:r w:rsidRPr="00521BAE">
        <w:rPr>
          <w:rStyle w:val="Characteritalic"/>
        </w:rPr>
        <w:t>Connecting Australians: Victoria highlights. Results of the National Arts Participation Survey – June 2017</w:t>
      </w:r>
      <w:r w:rsidRPr="00F9739B">
        <w:t>. Australia Council for the Arts, Sydney, ‹</w:t>
      </w:r>
      <w:hyperlink r:id="rId24" w:history="1">
        <w:r w:rsidRPr="00521BAE">
          <w:rPr>
            <w:rStyle w:val="Hyperlink"/>
          </w:rPr>
          <w:t>https://www.australiacouncil.gov.au/workspace/uploads/files/ naps__victoria-highlights_14-j 596938ae915d8.pdf</w:t>
        </w:r>
      </w:hyperlink>
      <w:r w:rsidRPr="00F9739B">
        <w:t>›.</w:t>
      </w:r>
    </w:p>
    <w:p w14:paraId="25975DA0" w14:textId="294D45CD" w:rsidR="00F9739B" w:rsidRPr="00F9739B" w:rsidRDefault="00F9739B" w:rsidP="00F9739B">
      <w:pPr>
        <w:pStyle w:val="BodyText"/>
      </w:pPr>
      <w:r w:rsidRPr="00F9739B">
        <w:t xml:space="preserve">Australian Government 2014, </w:t>
      </w:r>
      <w:r w:rsidRPr="00521BAE">
        <w:rPr>
          <w:rStyle w:val="Characteritalic"/>
        </w:rPr>
        <w:t>National arts and health framework</w:t>
      </w:r>
      <w:r w:rsidRPr="00F9739B">
        <w:t>, Department of Communications and the Arts, Canberra, ‹</w:t>
      </w:r>
      <w:hyperlink r:id="rId25" w:history="1">
        <w:r w:rsidRPr="00521BAE">
          <w:rPr>
            <w:rStyle w:val="Hyperlink"/>
          </w:rPr>
          <w:t>https://www.arts.gov.au/national-arts- and-health-framework</w:t>
        </w:r>
      </w:hyperlink>
      <w:r w:rsidRPr="00F9739B">
        <w:t>›.</w:t>
      </w:r>
    </w:p>
    <w:p w14:paraId="104F5BFD" w14:textId="60B4A15C" w:rsidR="00F9739B" w:rsidRPr="00F9739B" w:rsidRDefault="00F9739B" w:rsidP="00F9739B">
      <w:pPr>
        <w:pStyle w:val="BodyText"/>
      </w:pPr>
      <w:r w:rsidRPr="00F9739B">
        <w:t xml:space="preserve">Davies, C, </w:t>
      </w:r>
      <w:proofErr w:type="spellStart"/>
      <w:r w:rsidRPr="00F9739B">
        <w:t>Knuiman</w:t>
      </w:r>
      <w:proofErr w:type="spellEnd"/>
      <w:r w:rsidRPr="00F9739B">
        <w:t>, M &amp; Rosenberg, M 2016, ‘The art of being mentally healthy:</w:t>
      </w:r>
      <w:r>
        <w:t xml:space="preserve"> </w:t>
      </w:r>
      <w:r w:rsidRPr="00F9739B">
        <w:t xml:space="preserve">A study to quantify the relationship between recreational arts engagement and mental well-being in the general population’, </w:t>
      </w:r>
      <w:r w:rsidRPr="00521BAE">
        <w:rPr>
          <w:rStyle w:val="Characteritalic"/>
        </w:rPr>
        <w:t>BMC Public Health</w:t>
      </w:r>
      <w:r w:rsidRPr="00F9739B">
        <w:t xml:space="preserve">, vol. 16, art. no. 15, </w:t>
      </w:r>
      <w:proofErr w:type="spellStart"/>
      <w:r w:rsidRPr="00F9739B">
        <w:t>doi</w:t>
      </w:r>
      <w:proofErr w:type="spellEnd"/>
      <w:r w:rsidRPr="00F9739B">
        <w:t>: 10.1186/s12889-015-2672-7.</w:t>
      </w:r>
    </w:p>
    <w:p w14:paraId="4F88C556" w14:textId="31F9A736" w:rsidR="00F9739B" w:rsidRPr="00F9739B" w:rsidRDefault="00F9739B" w:rsidP="00F9739B">
      <w:pPr>
        <w:pStyle w:val="BodyText"/>
      </w:pPr>
      <w:r w:rsidRPr="00F9739B">
        <w:t xml:space="preserve">DSG (Development Services Group) 2016, </w:t>
      </w:r>
      <w:r w:rsidRPr="00521BAE">
        <w:rPr>
          <w:rStyle w:val="Characteritalic"/>
        </w:rPr>
        <w:t>Arts-based programs and arts therapies for at-risk, justice-involved, and traumatised youths: Literature review</w:t>
      </w:r>
      <w:r w:rsidRPr="00F9739B">
        <w:t>, Office of Juvenile Justice and Delinquency Prevention, Washington DC, ‹</w:t>
      </w:r>
      <w:hyperlink r:id="rId26" w:history="1">
        <w:r w:rsidRPr="00521BAE">
          <w:rPr>
            <w:rStyle w:val="Hyperlink"/>
          </w:rPr>
          <w:t>https://www.arts.gov/ publications/arts-based-programs-and-art-therapies-risk-justice-involved-and- traumatized-youths</w:t>
        </w:r>
      </w:hyperlink>
      <w:r w:rsidRPr="00F9739B">
        <w:t>›.</w:t>
      </w:r>
    </w:p>
    <w:p w14:paraId="2DDDBB32" w14:textId="59F63B0C" w:rsidR="00F9739B" w:rsidRPr="00F9739B" w:rsidRDefault="00F9739B" w:rsidP="00F9739B">
      <w:pPr>
        <w:pStyle w:val="BodyText"/>
      </w:pPr>
      <w:proofErr w:type="spellStart"/>
      <w:r w:rsidRPr="00F9739B">
        <w:t>Everitt</w:t>
      </w:r>
      <w:proofErr w:type="spellEnd"/>
      <w:r w:rsidRPr="00F9739B">
        <w:t xml:space="preserve">, A &amp; Hamilton, R 2003, </w:t>
      </w:r>
      <w:r w:rsidRPr="00521BAE">
        <w:rPr>
          <w:rStyle w:val="Characteritalic"/>
        </w:rPr>
        <w:t>Arts, health and community: A study of five arts in community health projects</w:t>
      </w:r>
      <w:r w:rsidRPr="00F9739B">
        <w:t>, University of Durham, Durham, ‹</w:t>
      </w:r>
      <w:hyperlink r:id="rId27" w:history="1">
        <w:r w:rsidRPr="00521BAE">
          <w:rPr>
            <w:rStyle w:val="Hyperlink"/>
          </w:rPr>
          <w:t>http://www. artshealthresources.org.uk/docs/arts-health-and-community-a-study-of-five- arts-in-community-health-projects/</w:t>
        </w:r>
      </w:hyperlink>
      <w:r w:rsidRPr="00F9739B">
        <w:t>›.</w:t>
      </w:r>
    </w:p>
    <w:p w14:paraId="2E63450E" w14:textId="7852BDC0" w:rsidR="00F9739B" w:rsidRPr="00F9739B" w:rsidRDefault="00F9739B" w:rsidP="00F9739B">
      <w:pPr>
        <w:pStyle w:val="BodyText"/>
      </w:pPr>
      <w:proofErr w:type="spellStart"/>
      <w:r w:rsidRPr="00F9739B">
        <w:t>Ings</w:t>
      </w:r>
      <w:proofErr w:type="spellEnd"/>
      <w:r w:rsidRPr="00F9739B">
        <w:t xml:space="preserve">, R, Crane, N &amp; Cameron, M 2012, </w:t>
      </w:r>
      <w:r w:rsidRPr="00521BAE">
        <w:rPr>
          <w:rStyle w:val="Characteritalic"/>
        </w:rPr>
        <w:t>Be creative be well: Arts, wellbeing and local communities. An evaluation</w:t>
      </w:r>
      <w:r w:rsidRPr="00F9739B">
        <w:t>, Arts Council England, London, ‹</w:t>
      </w:r>
      <w:hyperlink r:id="rId28" w:history="1">
        <w:r w:rsidRPr="00521BAE">
          <w:rPr>
            <w:rStyle w:val="Hyperlink"/>
          </w:rPr>
          <w:t>https://www. artscouncil.org.uk/sites/default/files/download-file/Be_Creative_Be_Well.pdf</w:t>
        </w:r>
      </w:hyperlink>
      <w:r w:rsidRPr="00F9739B">
        <w:t>›.</w:t>
      </w:r>
    </w:p>
    <w:p w14:paraId="58CB4880" w14:textId="7497BF87" w:rsidR="00F9739B" w:rsidRPr="00F9739B" w:rsidRDefault="00F9739B" w:rsidP="00F9739B">
      <w:pPr>
        <w:pStyle w:val="BodyText"/>
      </w:pPr>
      <w:proofErr w:type="spellStart"/>
      <w:r w:rsidRPr="00F9739B">
        <w:t>Menzer</w:t>
      </w:r>
      <w:proofErr w:type="spellEnd"/>
      <w:r w:rsidRPr="00F9739B">
        <w:t xml:space="preserve">, M 2015, </w:t>
      </w:r>
      <w:r w:rsidRPr="00521BAE">
        <w:rPr>
          <w:rStyle w:val="Characteritalic"/>
        </w:rPr>
        <w:t>The arts in early childhood: Social and emotional benefits of participation: A literature review and gap-analysis (2000–2015)</w:t>
      </w:r>
      <w:r w:rsidRPr="00F9739B">
        <w:t>, National Endowment for the Arts, Washington DC, ‹</w:t>
      </w:r>
      <w:hyperlink r:id="rId29" w:history="1">
        <w:r w:rsidRPr="00521BAE">
          <w:rPr>
            <w:rStyle w:val="Hyperlink"/>
          </w:rPr>
          <w:t>https://www.arts.gov/sites/default/ files/arts-in-early-childhood-dec2015-rev.pdf</w:t>
        </w:r>
      </w:hyperlink>
      <w:r w:rsidRPr="00F9739B">
        <w:t>›.</w:t>
      </w:r>
    </w:p>
    <w:p w14:paraId="6D5515EA" w14:textId="09A9415A" w:rsidR="00D430D6" w:rsidRDefault="00F9739B" w:rsidP="00F9739B">
      <w:pPr>
        <w:pStyle w:val="BodyText"/>
      </w:pPr>
      <w:proofErr w:type="spellStart"/>
      <w:r w:rsidRPr="00F9739B">
        <w:t>Noice</w:t>
      </w:r>
      <w:proofErr w:type="spellEnd"/>
      <w:r w:rsidRPr="00F9739B">
        <w:t xml:space="preserve">, T, </w:t>
      </w:r>
      <w:proofErr w:type="spellStart"/>
      <w:r w:rsidRPr="00F9739B">
        <w:t>Noice</w:t>
      </w:r>
      <w:proofErr w:type="spellEnd"/>
      <w:r w:rsidRPr="00F9739B">
        <w:t xml:space="preserve">, A &amp; Kramer, A 2013, ‘Participatory arts for older adults: A review of benefits and challenges’, </w:t>
      </w:r>
      <w:r w:rsidRPr="00521BAE">
        <w:rPr>
          <w:rStyle w:val="Characteritalic"/>
        </w:rPr>
        <w:t>The Gerontologist</w:t>
      </w:r>
      <w:r w:rsidRPr="00F9739B">
        <w:t>, vol. 54, no. 5, pp. 741–53.</w:t>
      </w:r>
    </w:p>
    <w:p w14:paraId="04E71643" w14:textId="77777777" w:rsidR="00376E66" w:rsidRDefault="00376E66" w:rsidP="0031746B">
      <w:pPr>
        <w:pStyle w:val="BodyText"/>
      </w:pPr>
    </w:p>
    <w:p w14:paraId="590D9D1A" w14:textId="1C8712C0" w:rsidR="00D430D6" w:rsidRPr="002A13A9" w:rsidRDefault="00D430D6" w:rsidP="0031746B">
      <w:pPr>
        <w:pStyle w:val="BodyText"/>
        <w:sectPr w:rsidR="00D430D6" w:rsidRPr="002A13A9" w:rsidSect="0093562C">
          <w:headerReference w:type="even" r:id="rId30"/>
          <w:headerReference w:type="default" r:id="rId31"/>
          <w:footerReference w:type="even" r:id="rId32"/>
          <w:footerReference w:type="default" r:id="rId33"/>
          <w:headerReference w:type="first" r:id="rId34"/>
          <w:footerReference w:type="first" r:id="rId35"/>
          <w:pgSz w:w="11907" w:h="16839" w:code="9"/>
          <w:pgMar w:top="1157" w:right="1157" w:bottom="1157" w:left="1157" w:header="380" w:footer="493" w:gutter="0"/>
          <w:cols w:space="720"/>
          <w:titlePg/>
          <w:docGrid w:linePitch="360"/>
        </w:sectPr>
      </w:pPr>
    </w:p>
    <w:p w14:paraId="7A50DED6" w14:textId="77777777" w:rsidR="00AC5CC3" w:rsidRPr="00F71DBA" w:rsidRDefault="00AC5CC3" w:rsidP="00F71DBA">
      <w:pPr>
        <w:pStyle w:val="BodyText"/>
      </w:pPr>
    </w:p>
    <w:sectPr w:rsidR="00AC5CC3" w:rsidRPr="00F71DBA" w:rsidSect="0093562C">
      <w:footerReference w:type="default" r:id="rId36"/>
      <w:headerReference w:type="first" r:id="rId37"/>
      <w:footerReference w:type="first" r:id="rId38"/>
      <w:pgSz w:w="11907" w:h="16839" w:code="9"/>
      <w:pgMar w:top="1157" w:right="1157" w:bottom="1157" w:left="1157" w:header="380" w:footer="4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9057" w14:textId="77777777" w:rsidR="00346F35" w:rsidRDefault="00346F35" w:rsidP="00E12845">
      <w:pPr>
        <w:spacing w:before="0" w:after="0"/>
      </w:pPr>
      <w:r>
        <w:separator/>
      </w:r>
    </w:p>
  </w:endnote>
  <w:endnote w:type="continuationSeparator" w:id="0">
    <w:p w14:paraId="4CA249E0" w14:textId="77777777" w:rsidR="00346F35" w:rsidRDefault="00346F35" w:rsidP="00E128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4A44" w14:textId="77777777" w:rsidR="00EF6620" w:rsidRDefault="00EF6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406758"/>
      <w:docPartObj>
        <w:docPartGallery w:val="Page Numbers (Bottom of Page)"/>
        <w:docPartUnique/>
      </w:docPartObj>
    </w:sdtPr>
    <w:sdtEndPr/>
    <w:sdtContent>
      <w:p w14:paraId="2510A6DB" w14:textId="6C308BAA" w:rsidR="00EF6620" w:rsidRPr="00EF6620" w:rsidRDefault="00EF6620" w:rsidP="00EF6620">
        <w:pPr>
          <w:pStyle w:val="Footer"/>
        </w:pPr>
        <w:fldSimple w:instr=" STYLEREF  Title  \* MERGEFORMAT ">
          <w:r w:rsidR="003E4893">
            <w:rPr>
              <w:noProof/>
            </w:rPr>
            <w:t>Arts</w:t>
          </w:r>
        </w:fldSimple>
        <w:r w:rsidRPr="00EF6620">
          <w:tab/>
        </w:r>
        <w:r w:rsidRPr="00EF6620">
          <w:rPr>
            <w:rStyle w:val="PageNumber"/>
          </w:rPr>
          <w:t xml:space="preserve">Page </w:t>
        </w:r>
        <w:r w:rsidRPr="00EF6620">
          <w:rPr>
            <w:rStyle w:val="Characterbold"/>
            <w:b w:val="0"/>
          </w:rPr>
          <w:fldChar w:fldCharType="begin"/>
        </w:r>
        <w:r w:rsidRPr="00EF6620">
          <w:rPr>
            <w:rStyle w:val="Characterbold"/>
            <w:b w:val="0"/>
          </w:rPr>
          <w:instrText xml:space="preserve"> PAGE  \* Arabic  \* MERGEFORMAT </w:instrText>
        </w:r>
        <w:r w:rsidRPr="00EF6620">
          <w:rPr>
            <w:rStyle w:val="Characterbold"/>
            <w:b w:val="0"/>
          </w:rPr>
          <w:fldChar w:fldCharType="separate"/>
        </w:r>
        <w:r w:rsidRPr="00EF6620">
          <w:rPr>
            <w:rStyle w:val="Characterbold"/>
            <w:b w:val="0"/>
          </w:rPr>
          <w:t>1</w:t>
        </w:r>
        <w:r w:rsidRPr="00EF6620">
          <w:rPr>
            <w:rStyle w:val="Characterbold"/>
            <w:b w:val="0"/>
          </w:rPr>
          <w:fldChar w:fldCharType="end"/>
        </w:r>
        <w:r w:rsidRPr="00EF6620">
          <w:rPr>
            <w:rStyle w:val="PageNumber"/>
          </w:rPr>
          <w:t xml:space="preserve"> of </w:t>
        </w:r>
        <w:r w:rsidRPr="00EF6620">
          <w:rPr>
            <w:rStyle w:val="Characterbold"/>
            <w:b w:val="0"/>
          </w:rPr>
          <w:fldChar w:fldCharType="begin"/>
        </w:r>
        <w:r w:rsidRPr="00EF6620">
          <w:rPr>
            <w:rStyle w:val="Characterbold"/>
            <w:b w:val="0"/>
          </w:rPr>
          <w:instrText xml:space="preserve"> NUMPAGES  \* Arabic  \* MERGEFORMAT </w:instrText>
        </w:r>
        <w:r w:rsidRPr="00EF6620">
          <w:rPr>
            <w:rStyle w:val="Characterbold"/>
            <w:b w:val="0"/>
          </w:rPr>
          <w:fldChar w:fldCharType="separate"/>
        </w:r>
        <w:r w:rsidRPr="00EF6620">
          <w:rPr>
            <w:rStyle w:val="Characterbold"/>
            <w:b w:val="0"/>
          </w:rPr>
          <w:t>6</w:t>
        </w:r>
        <w:r w:rsidRPr="00EF6620">
          <w:rPr>
            <w:rStyle w:val="Characterbold"/>
            <w:b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238040"/>
      <w:docPartObj>
        <w:docPartGallery w:val="Page Numbers (Bottom of Page)"/>
        <w:docPartUnique/>
      </w:docPartObj>
    </w:sdtPr>
    <w:sdtEndPr/>
    <w:sdtContent>
      <w:p w14:paraId="6AA70AFA" w14:textId="2086BBC5" w:rsidR="00296466" w:rsidRPr="00EF6620" w:rsidRDefault="003E4893" w:rsidP="00EF6620">
        <w:pPr>
          <w:pStyle w:val="Footer"/>
        </w:pPr>
        <w:r>
          <w:rPr>
            <w:noProof/>
          </w:rPr>
          <w:fldChar w:fldCharType="begin"/>
        </w:r>
        <w:r>
          <w:rPr>
            <w:noProof/>
          </w:rPr>
          <w:instrText xml:space="preserve"> STYLEREF  Title  \* MERGEFORMAT </w:instrText>
        </w:r>
        <w:r>
          <w:rPr>
            <w:noProof/>
          </w:rPr>
          <w:fldChar w:fldCharType="separate"/>
        </w:r>
        <w:r>
          <w:rPr>
            <w:noProof/>
          </w:rPr>
          <w:t>Arts</w:t>
        </w:r>
        <w:r>
          <w:rPr>
            <w:noProof/>
          </w:rPr>
          <w:fldChar w:fldCharType="end"/>
        </w:r>
        <w:r w:rsidR="00296466" w:rsidRPr="00EF6620">
          <w:tab/>
        </w:r>
        <w:r w:rsidR="00296466" w:rsidRPr="00EF6620">
          <w:rPr>
            <w:rStyle w:val="PageNumber"/>
          </w:rPr>
          <w:t xml:space="preserve">Page </w:t>
        </w:r>
        <w:r w:rsidR="00296466" w:rsidRPr="00EF6620">
          <w:rPr>
            <w:rStyle w:val="Characterbold"/>
            <w:b w:val="0"/>
          </w:rPr>
          <w:fldChar w:fldCharType="begin"/>
        </w:r>
        <w:r w:rsidR="00296466" w:rsidRPr="00EF6620">
          <w:rPr>
            <w:rStyle w:val="Characterbold"/>
            <w:b w:val="0"/>
          </w:rPr>
          <w:instrText xml:space="preserve"> PAGE  \* Arabic  \* MERGEFORMAT </w:instrText>
        </w:r>
        <w:r w:rsidR="00296466" w:rsidRPr="00EF6620">
          <w:rPr>
            <w:rStyle w:val="Characterbold"/>
            <w:b w:val="0"/>
          </w:rPr>
          <w:fldChar w:fldCharType="separate"/>
        </w:r>
        <w:r w:rsidR="00296466" w:rsidRPr="00EF6620">
          <w:rPr>
            <w:rStyle w:val="Characterbold"/>
            <w:b w:val="0"/>
          </w:rPr>
          <w:t>3</w:t>
        </w:r>
        <w:r w:rsidR="00296466" w:rsidRPr="00EF6620">
          <w:rPr>
            <w:rStyle w:val="Characterbold"/>
            <w:b w:val="0"/>
          </w:rPr>
          <w:fldChar w:fldCharType="end"/>
        </w:r>
        <w:r w:rsidR="00296466" w:rsidRPr="00EF6620">
          <w:rPr>
            <w:rStyle w:val="PageNumber"/>
          </w:rPr>
          <w:t xml:space="preserve"> of </w:t>
        </w:r>
        <w:r w:rsidR="00296466" w:rsidRPr="00EF6620">
          <w:rPr>
            <w:rStyle w:val="Characterbold"/>
            <w:b w:val="0"/>
          </w:rPr>
          <w:fldChar w:fldCharType="begin"/>
        </w:r>
        <w:r w:rsidR="00296466" w:rsidRPr="00EF6620">
          <w:rPr>
            <w:rStyle w:val="Characterbold"/>
            <w:b w:val="0"/>
          </w:rPr>
          <w:instrText xml:space="preserve"> NUMPAGES  \* Arabic  \* MERGEFORMAT </w:instrText>
        </w:r>
        <w:r w:rsidR="00296466" w:rsidRPr="00EF6620">
          <w:rPr>
            <w:rStyle w:val="Characterbold"/>
            <w:b w:val="0"/>
          </w:rPr>
          <w:fldChar w:fldCharType="separate"/>
        </w:r>
        <w:r w:rsidR="00296466" w:rsidRPr="00EF6620">
          <w:rPr>
            <w:rStyle w:val="Characterbold"/>
            <w:b w:val="0"/>
          </w:rPr>
          <w:t>7</w:t>
        </w:r>
        <w:r w:rsidR="00296466" w:rsidRPr="00EF6620">
          <w:rPr>
            <w:rStyle w:val="Characterbold"/>
            <w:b w:val="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337291"/>
      <w:docPartObj>
        <w:docPartGallery w:val="Page Numbers (Bottom of Page)"/>
        <w:docPartUnique/>
      </w:docPartObj>
    </w:sdtPr>
    <w:sdtEndPr>
      <w:rPr>
        <w:noProof/>
      </w:rPr>
    </w:sdtEndPr>
    <w:sdtContent>
      <w:p w14:paraId="7B06C15B" w14:textId="4A2C1D3A" w:rsidR="00982493" w:rsidRPr="00E12845" w:rsidRDefault="00982493" w:rsidP="00982493">
        <w:pPr>
          <w:pStyle w:val="Footer"/>
        </w:pPr>
        <w:r>
          <w:rPr>
            <w:noProof/>
          </w:rPr>
          <w:fldChar w:fldCharType="begin"/>
        </w:r>
        <w:r>
          <w:rPr>
            <w:noProof/>
          </w:rPr>
          <w:instrText xml:space="preserve"> STYLEREF  Title  \* MERGEFORMAT </w:instrText>
        </w:r>
        <w:r>
          <w:rPr>
            <w:noProof/>
          </w:rPr>
          <w:fldChar w:fldCharType="separate"/>
        </w:r>
        <w:r w:rsidR="00943D2B">
          <w:rPr>
            <w:noProof/>
          </w:rPr>
          <w:t>Arts</w:t>
        </w:r>
        <w:r>
          <w:rPr>
            <w:noProof/>
          </w:rPr>
          <w:fldChar w:fldCharType="end"/>
        </w:r>
        <w:r>
          <w:tab/>
        </w:r>
        <w:r w:rsidRPr="00982493">
          <w:t xml:space="preserve">Page </w:t>
        </w:r>
        <w:r w:rsidRPr="00982493">
          <w:fldChar w:fldCharType="begin"/>
        </w:r>
        <w:r w:rsidRPr="00982493">
          <w:instrText xml:space="preserve"> PAGE  \* Arabic  \* MERGEFORMAT </w:instrText>
        </w:r>
        <w:r w:rsidRPr="00982493">
          <w:fldChar w:fldCharType="separate"/>
        </w:r>
        <w:r w:rsidRPr="00982493">
          <w:t>4</w:t>
        </w:r>
        <w:r w:rsidRPr="00982493">
          <w:fldChar w:fldCharType="end"/>
        </w:r>
        <w:r w:rsidRPr="00982493">
          <w:t xml:space="preserve"> of </w:t>
        </w:r>
        <w:fldSimple w:instr=" NUMPAGES  \* Arabic  \* MERGEFORMAT ">
          <w:r w:rsidRPr="00982493">
            <w:t>19</w:t>
          </w:r>
        </w:fldSimple>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348379659"/>
      <w:docPartObj>
        <w:docPartGallery w:val="Page Numbers (Bottom of Page)"/>
        <w:docPartUnique/>
      </w:docPartObj>
    </w:sdtPr>
    <w:sdtEndPr/>
    <w:sdtContent>
      <w:p w14:paraId="7718D595" w14:textId="77777777" w:rsidR="00B20944" w:rsidRPr="00B20944" w:rsidRDefault="00B20944" w:rsidP="005A400D">
        <w:pPr>
          <w:pStyle w:val="Footer"/>
          <w:rPr>
            <w:rFonts w:ascii="Arial" w:eastAsia="Times New Roman" w:hAnsi="Arial" w:cs="Arial"/>
            <w:sz w:val="18"/>
          </w:rPr>
        </w:pPr>
        <w:r w:rsidRPr="00B20944">
          <w:rPr>
            <w:rFonts w:ascii="Arial" w:eastAsia="Times New Roman" w:hAnsi="Arial" w:cs="Arial"/>
            <w:noProof/>
            <w:sz w:val="16"/>
          </w:rPr>
          <w:drawing>
            <wp:anchor distT="0" distB="0" distL="114300" distR="114300" simplePos="0" relativeHeight="251665408" behindDoc="0" locked="0" layoutInCell="1" allowOverlap="1" wp14:anchorId="59960A6D" wp14:editId="6C1AD0E9">
              <wp:simplePos x="0" y="0"/>
              <wp:positionH relativeFrom="column">
                <wp:posOffset>8255</wp:posOffset>
              </wp:positionH>
              <wp:positionV relativeFrom="paragraph">
                <wp:posOffset>116840</wp:posOffset>
              </wp:positionV>
              <wp:extent cx="1915160" cy="607695"/>
              <wp:effectExtent l="0" t="0" r="8890" b="1905"/>
              <wp:wrapSquare wrapText="bothSides"/>
              <wp:docPr id="10" name="Picture 10"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6AB12"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69D816A"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137AC25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77E1669"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B2EAAAF"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856F508"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B031EAE" w14:textId="77777777" w:rsidR="00B20944" w:rsidRPr="00B20944" w:rsidRDefault="00B20944" w:rsidP="00B20944">
        <w:pPr>
          <w:pStyle w:val="Footer"/>
        </w:pPr>
        <w:r w:rsidRPr="00B20944">
          <w:t xml:space="preserve">Victorian Health Promotion Foundation </w:t>
        </w:r>
        <w:r>
          <w:br/>
        </w:r>
        <w:r w:rsidRPr="00B20944">
          <w:t>PO Box 154 Carlton South</w:t>
        </w:r>
      </w:p>
      <w:p w14:paraId="01BCCCE9" w14:textId="77777777" w:rsidR="00B20944" w:rsidRPr="00B20944" w:rsidRDefault="00B20944" w:rsidP="00B20944">
        <w:pPr>
          <w:pStyle w:val="Footer"/>
        </w:pPr>
        <w:r w:rsidRPr="00B20944">
          <w:t>Victoria 3053 Australia</w:t>
        </w:r>
      </w:p>
      <w:p w14:paraId="430DB600" w14:textId="77777777" w:rsidR="00B20944" w:rsidRPr="00B20944" w:rsidRDefault="00B20944" w:rsidP="00B20944">
        <w:pPr>
          <w:pStyle w:val="Footer"/>
        </w:pPr>
        <w:r w:rsidRPr="00B20944">
          <w:t>T +61 3 9667 1333 F +61 3 9667 1375</w:t>
        </w:r>
      </w:p>
      <w:p w14:paraId="000BF00E" w14:textId="77777777" w:rsidR="00B20944" w:rsidRPr="00B20944" w:rsidRDefault="00B20944" w:rsidP="00B20944">
        <w:pPr>
          <w:pStyle w:val="Footer"/>
        </w:pPr>
      </w:p>
      <w:p w14:paraId="6504E93A" w14:textId="77777777" w:rsidR="00B20944" w:rsidRPr="00B20944" w:rsidRDefault="00B20944" w:rsidP="00B20944">
        <w:pPr>
          <w:pStyle w:val="Footer"/>
        </w:pPr>
        <w:r w:rsidRPr="00B20944">
          <w:t xml:space="preserve">vichealth@vichealth.vic.gov.au </w:t>
        </w:r>
      </w:p>
      <w:p w14:paraId="0874535B" w14:textId="77777777" w:rsidR="00B20944" w:rsidRPr="00B20944" w:rsidRDefault="00B20944" w:rsidP="00B20944">
        <w:pPr>
          <w:pStyle w:val="Footer"/>
        </w:pPr>
        <w:r w:rsidRPr="00B20944">
          <w:t xml:space="preserve">vichealth.vic.gov.au </w:t>
        </w:r>
      </w:p>
      <w:p w14:paraId="71AE7FC8" w14:textId="77777777" w:rsidR="00B20944" w:rsidRPr="00B20944" w:rsidRDefault="00B20944" w:rsidP="00B20944">
        <w:pPr>
          <w:pStyle w:val="Footer"/>
        </w:pPr>
        <w:r w:rsidRPr="00B20944">
          <w:t>twitter.com/</w:t>
        </w:r>
        <w:proofErr w:type="spellStart"/>
        <w:r w:rsidRPr="00B20944">
          <w:t>vichealth</w:t>
        </w:r>
        <w:proofErr w:type="spellEnd"/>
        <w:r w:rsidRPr="00B20944">
          <w:t xml:space="preserve"> </w:t>
        </w:r>
      </w:p>
      <w:p w14:paraId="4E68FE90" w14:textId="77777777" w:rsidR="00B20944" w:rsidRPr="00B20944" w:rsidRDefault="00B20944" w:rsidP="00B20944">
        <w:pPr>
          <w:pStyle w:val="Footer"/>
        </w:pPr>
        <w:r w:rsidRPr="00B20944">
          <w:t>facebook.com/</w:t>
        </w:r>
        <w:proofErr w:type="spellStart"/>
        <w:r w:rsidRPr="00B20944">
          <w:t>vichealth</w:t>
        </w:r>
        <w:proofErr w:type="spellEnd"/>
      </w:p>
      <w:p w14:paraId="2CFAAB29" w14:textId="77777777" w:rsidR="00B20944" w:rsidRPr="00B20944" w:rsidRDefault="00B20944" w:rsidP="00B20944">
        <w:pPr>
          <w:pStyle w:val="Footer"/>
        </w:pPr>
      </w:p>
      <w:p w14:paraId="27851D5C" w14:textId="77777777" w:rsidR="00B20944" w:rsidRPr="00B20944" w:rsidRDefault="00B20944" w:rsidP="00B20944">
        <w:pPr>
          <w:pStyle w:val="Footer"/>
        </w:pPr>
        <w:r w:rsidRPr="00B20944">
          <w:t>VicHealth acknowledges the support of the Victorian Government.</w:t>
        </w:r>
      </w:p>
      <w:p w14:paraId="38C4279E" w14:textId="77777777" w:rsidR="00B20944" w:rsidRPr="00B20944" w:rsidRDefault="00B20944" w:rsidP="00B20944">
        <w:pPr>
          <w:pStyle w:val="Footer"/>
        </w:pPr>
      </w:p>
      <w:p w14:paraId="5830A007" w14:textId="1F0959EB" w:rsidR="00B20944" w:rsidRPr="00B20944" w:rsidRDefault="00B20944" w:rsidP="00B20944">
        <w:pPr>
          <w:pStyle w:val="Footer"/>
        </w:pPr>
        <w:r w:rsidRPr="00B20944">
          <w:t xml:space="preserve">© VicHealth </w:t>
        </w:r>
        <w:r w:rsidR="008F71EA">
          <w:t>2019</w:t>
        </w:r>
      </w:p>
      <w:p w14:paraId="5C781F42" w14:textId="27ED3419" w:rsidR="00B20944" w:rsidRPr="00B20944" w:rsidRDefault="008F71EA" w:rsidP="00B20944">
        <w:pPr>
          <w:pStyle w:val="Footer"/>
        </w:pPr>
        <w:r>
          <w:t xml:space="preserve">August 2019   </w:t>
        </w:r>
        <w:r w:rsidRPr="008F71EA">
          <w:t>C-7</w:t>
        </w:r>
        <w:r w:rsidR="0031746B">
          <w:t>7</w:t>
        </w:r>
        <w:r w:rsidR="00943D2B">
          <w:t>2</w:t>
        </w:r>
      </w:p>
      <w:p w14:paraId="0754045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D373D85"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r w:rsidRPr="00B20944">
          <w:rPr>
            <w:rFonts w:ascii="Arial" w:eastAsia="Times New Roman" w:hAnsi="Arial" w:cs="Arial"/>
            <w:noProof/>
            <w:sz w:val="16"/>
          </w:rPr>
          <w:drawing>
            <wp:anchor distT="0" distB="0" distL="114300" distR="114300" simplePos="0" relativeHeight="251664384" behindDoc="0" locked="0" layoutInCell="1" allowOverlap="1" wp14:anchorId="5BCD6843" wp14:editId="7225C8A6">
              <wp:simplePos x="0" y="0"/>
              <wp:positionH relativeFrom="column">
                <wp:posOffset>-7620</wp:posOffset>
              </wp:positionH>
              <wp:positionV relativeFrom="paragraph">
                <wp:posOffset>57785</wp:posOffset>
              </wp:positionV>
              <wp:extent cx="757555" cy="433705"/>
              <wp:effectExtent l="0" t="0" r="4445" b="4445"/>
              <wp:wrapSquare wrapText="bothSides"/>
              <wp:docPr id="9" name="Picture 9"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ctoria State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FEED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2EBA413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A649AAC"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408E7B19" w14:textId="77777777" w:rsidR="00FC728C" w:rsidRPr="00B20944" w:rsidRDefault="003E4893" w:rsidP="00B20944">
        <w:pPr>
          <w:tabs>
            <w:tab w:val="right" w:pos="8959"/>
            <w:tab w:val="right" w:pos="14629"/>
          </w:tabs>
          <w:spacing w:before="0" w:after="0" w:line="240" w:lineRule="auto"/>
          <w:rPr>
            <w:rFonts w:ascii="Arial" w:eastAsia="Times New Roman" w:hAnsi="Arial" w:cs="Arial"/>
            <w:sz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F7A1" w14:textId="77777777" w:rsidR="00346F35" w:rsidRDefault="00346F35" w:rsidP="00E12845">
      <w:pPr>
        <w:spacing w:before="0" w:after="0"/>
      </w:pPr>
      <w:r>
        <w:separator/>
      </w:r>
    </w:p>
  </w:footnote>
  <w:footnote w:type="continuationSeparator" w:id="0">
    <w:p w14:paraId="2FB3B728" w14:textId="77777777" w:rsidR="00346F35" w:rsidRDefault="00346F35" w:rsidP="00E128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F85A" w14:textId="77777777" w:rsidR="00EF6620" w:rsidRDefault="00EF6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A5C2" w14:textId="7D904B30" w:rsidR="00A912BD" w:rsidRPr="0093562C" w:rsidRDefault="00A912BD" w:rsidP="00A912BD">
    <w:pPr>
      <w:pStyle w:val="Header"/>
    </w:pPr>
  </w:p>
  <w:p w14:paraId="3950E33C" w14:textId="77777777" w:rsidR="00A912BD" w:rsidRDefault="00A91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CBD5" w14:textId="77777777" w:rsidR="00075A4B" w:rsidRPr="0093562C" w:rsidRDefault="00075A4B" w:rsidP="0093562C">
    <w:pPr>
      <w:pStyle w:val="Header"/>
    </w:pPr>
    <w:r w:rsidRPr="0093562C">
      <w:rPr>
        <w:noProof/>
      </w:rPr>
      <w:drawing>
        <wp:anchor distT="0" distB="0" distL="114300" distR="114300" simplePos="0" relativeHeight="251660288" behindDoc="1" locked="0" layoutInCell="1" allowOverlap="1" wp14:anchorId="77E82B10" wp14:editId="17D197DD">
          <wp:simplePos x="0" y="0"/>
          <wp:positionH relativeFrom="column">
            <wp:posOffset>4906084</wp:posOffset>
          </wp:positionH>
          <wp:positionV relativeFrom="paragraph">
            <wp:posOffset>2144</wp:posOffset>
          </wp:positionV>
          <wp:extent cx="1186200" cy="375840"/>
          <wp:effectExtent l="0" t="0" r="0" b="5715"/>
          <wp:wrapNone/>
          <wp:docPr id="5" name="Picture 5"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Health_Brandmark_POS_RGB_Reg.png"/>
                  <pic:cNvPicPr/>
                </pic:nvPicPr>
                <pic:blipFill>
                  <a:blip r:embed="rId1">
                    <a:extLst>
                      <a:ext uri="{28A0092B-C50C-407E-A947-70E740481C1C}">
                        <a14:useLocalDpi xmlns:a14="http://schemas.microsoft.com/office/drawing/2010/main" val="0"/>
                      </a:ext>
                    </a:extLst>
                  </a:blip>
                  <a:stretch>
                    <a:fillRect/>
                  </a:stretch>
                </pic:blipFill>
                <pic:spPr>
                  <a:xfrm>
                    <a:off x="0" y="0"/>
                    <a:ext cx="1186200" cy="37584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3677" w14:textId="77777777" w:rsidR="001C5408" w:rsidRPr="001C5408" w:rsidRDefault="001C5408" w:rsidP="001C5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45D"/>
    <w:multiLevelType w:val="multilevel"/>
    <w:tmpl w:val="6AFE0DFA"/>
    <w:numStyleLink w:val="AppendixHeadingmaster"/>
  </w:abstractNum>
  <w:abstractNum w:abstractNumId="1" w15:restartNumberingAfterBreak="0">
    <w:nsid w:val="084F7801"/>
    <w:multiLevelType w:val="multilevel"/>
    <w:tmpl w:val="904AEB3A"/>
    <w:numStyleLink w:val="TableListNumbermaster"/>
  </w:abstractNum>
  <w:abstractNum w:abstractNumId="2" w15:restartNumberingAfterBreak="0">
    <w:nsid w:val="092052FE"/>
    <w:multiLevelType w:val="multilevel"/>
    <w:tmpl w:val="D08C4A56"/>
    <w:numStyleLink w:val="Headingsmaster"/>
  </w:abstractNum>
  <w:abstractNum w:abstractNumId="3" w15:restartNumberingAfterBreak="0">
    <w:nsid w:val="0F167765"/>
    <w:multiLevelType w:val="multilevel"/>
    <w:tmpl w:val="6AFE0DFA"/>
    <w:styleLink w:val="AppendixHeadingmaster"/>
    <w:lvl w:ilvl="0">
      <w:start w:val="1"/>
      <w:numFmt w:val="decimal"/>
      <w:pStyle w:val="AppendixHeading1"/>
      <w:lvlText w:val="Appendix %1"/>
      <w:lvlJc w:val="left"/>
      <w:pPr>
        <w:ind w:left="1429" w:hanging="1429"/>
      </w:pPr>
      <w:rPr>
        <w:rFonts w:ascii="Calibri" w:hAnsi="Calibri" w:hint="default"/>
        <w:b/>
        <w:i w:val="0"/>
        <w:color w:val="auto"/>
        <w:sz w:val="28"/>
      </w:rPr>
    </w:lvl>
    <w:lvl w:ilvl="1">
      <w:start w:val="1"/>
      <w:numFmt w:val="decimal"/>
      <w:pStyle w:val="AppendixHeading2"/>
      <w:lvlText w:val="Appendix %1.%2"/>
      <w:lvlJc w:val="left"/>
      <w:pPr>
        <w:ind w:left="1429" w:hanging="1429"/>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913431"/>
    <w:multiLevelType w:val="multilevel"/>
    <w:tmpl w:val="29286FFC"/>
    <w:numStyleLink w:val="ListNumbermaster"/>
  </w:abstractNum>
  <w:abstractNum w:abstractNumId="5" w15:restartNumberingAfterBreak="0">
    <w:nsid w:val="1A753D77"/>
    <w:multiLevelType w:val="multilevel"/>
    <w:tmpl w:val="D08C4A56"/>
    <w:styleLink w:val="Headingsmaster"/>
    <w:lvl w:ilvl="0">
      <w:start w:val="1"/>
      <w:numFmt w:val="decimal"/>
      <w:lvlText w:val="%1"/>
      <w:lvlJc w:val="left"/>
      <w:pPr>
        <w:ind w:left="714" w:hanging="714"/>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714" w:hanging="714"/>
      </w:pPr>
      <w:rPr>
        <w:rFonts w:hint="default"/>
        <w:b/>
        <w:i w:val="0"/>
      </w:rPr>
    </w:lvl>
    <w:lvl w:ilvl="3">
      <w:start w:val="1"/>
      <w:numFmt w:val="decimal"/>
      <w:lvlText w:val="%1.%2.%3.%4"/>
      <w:lvlJc w:val="left"/>
      <w:pPr>
        <w:ind w:left="714" w:hanging="7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B76778"/>
    <w:multiLevelType w:val="multilevel"/>
    <w:tmpl w:val="49B89FF0"/>
    <w:numStyleLink w:val="TableListBulletmaster"/>
  </w:abstractNum>
  <w:abstractNum w:abstractNumId="7"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243526"/>
    <w:multiLevelType w:val="multilevel"/>
    <w:tmpl w:val="D08C4A56"/>
    <w:numStyleLink w:val="Headingsmaster"/>
  </w:abstractNum>
  <w:abstractNum w:abstractNumId="9" w15:restartNumberingAfterBreak="0">
    <w:nsid w:val="242839DB"/>
    <w:multiLevelType w:val="multilevel"/>
    <w:tmpl w:val="A1224394"/>
    <w:styleLink w:val="ListLegalmaster"/>
    <w:lvl w:ilvl="0">
      <w:start w:val="1"/>
      <w:numFmt w:val="decimal"/>
      <w:pStyle w:val="ListLegal"/>
      <w:lvlText w:val="%1."/>
      <w:lvlJc w:val="left"/>
      <w:pPr>
        <w:ind w:left="357" w:hanging="357"/>
      </w:pPr>
      <w:rPr>
        <w:rFonts w:ascii="Arial" w:hAnsi="Arial" w:hint="default"/>
        <w:b w:val="0"/>
        <w:i w:val="0"/>
        <w:color w:val="auto"/>
        <w:sz w:val="20"/>
      </w:rPr>
    </w:lvl>
    <w:lvl w:ilvl="1">
      <w:start w:val="1"/>
      <w:numFmt w:val="lowerLetter"/>
      <w:pStyle w:val="ListLegal2"/>
      <w:lvlText w:val="(%2)"/>
      <w:lvlJc w:val="left"/>
      <w:pPr>
        <w:tabs>
          <w:tab w:val="num" w:pos="720"/>
        </w:tabs>
        <w:ind w:left="714" w:hanging="357"/>
      </w:pPr>
      <w:rPr>
        <w:rFonts w:ascii="Arial" w:hAnsi="Arial" w:hint="default"/>
        <w:b w:val="0"/>
        <w:i w:val="0"/>
        <w:color w:val="auto"/>
        <w:sz w:val="20"/>
      </w:rPr>
    </w:lvl>
    <w:lvl w:ilvl="2">
      <w:start w:val="1"/>
      <w:numFmt w:val="lowerRoman"/>
      <w:pStyle w:val="ListLegal3"/>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F70DCA"/>
    <w:multiLevelType w:val="multilevel"/>
    <w:tmpl w:val="D08C4A56"/>
    <w:numStyleLink w:val="Headingsmaster"/>
  </w:abstractNum>
  <w:abstractNum w:abstractNumId="11" w15:restartNumberingAfterBreak="0">
    <w:nsid w:val="2C7E1A94"/>
    <w:multiLevelType w:val="multilevel"/>
    <w:tmpl w:val="6AFE0DFA"/>
    <w:numStyleLink w:val="AppendixHeadingmaster"/>
  </w:abstractNum>
  <w:abstractNum w:abstractNumId="12" w15:restartNumberingAfterBreak="0">
    <w:nsid w:val="2CE161C0"/>
    <w:multiLevelType w:val="hybridMultilevel"/>
    <w:tmpl w:val="199CC292"/>
    <w:lvl w:ilvl="0" w:tplc="793A193A">
      <w:start w:val="1"/>
      <w:numFmt w:val="bullet"/>
      <w:pStyle w:val="ListChecklist"/>
      <w:lvlText w:val="þ"/>
      <w:lvlJc w:val="left"/>
      <w:pPr>
        <w:ind w:left="1077" w:hanging="360"/>
      </w:pPr>
      <w:rPr>
        <w:rFonts w:ascii="Wingdings" w:hAnsi="Wingdings" w:hint="default"/>
        <w:color w:val="05944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D9328E2"/>
    <w:multiLevelType w:val="multilevel"/>
    <w:tmpl w:val="29286FFC"/>
    <w:styleLink w:val="ListNumbermaster"/>
    <w:lvl w:ilvl="0">
      <w:start w:val="1"/>
      <w:numFmt w:val="decimal"/>
      <w:pStyle w:val="ListNumber"/>
      <w:lvlText w:val="%1."/>
      <w:lvlJc w:val="left"/>
      <w:pPr>
        <w:ind w:left="360" w:hanging="360"/>
      </w:pPr>
      <w:rPr>
        <w:rFonts w:ascii="Calibri" w:hAnsi="Calibri" w:hint="default"/>
        <w:color w:val="auto"/>
        <w:sz w:val="22"/>
      </w:rPr>
    </w:lvl>
    <w:lvl w:ilvl="1">
      <w:start w:val="1"/>
      <w:numFmt w:val="lowerLetter"/>
      <w:pStyle w:val="ListNumber2"/>
      <w:lvlText w:val="%2."/>
      <w:lvlJc w:val="left"/>
      <w:pPr>
        <w:ind w:left="720" w:hanging="360"/>
      </w:pPr>
      <w:rPr>
        <w:rFonts w:ascii="Calibri" w:hAnsi="Calibri" w:hint="default"/>
        <w:color w:val="auto"/>
        <w:sz w:val="22"/>
      </w:rPr>
    </w:lvl>
    <w:lvl w:ilvl="2">
      <w:start w:val="1"/>
      <w:numFmt w:val="lowerRoman"/>
      <w:pStyle w:val="ListNumber3"/>
      <w:lvlText w:val="%3."/>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304040"/>
    <w:multiLevelType w:val="multilevel"/>
    <w:tmpl w:val="29286FFC"/>
    <w:numStyleLink w:val="ListNumbermaster"/>
  </w:abstractNum>
  <w:abstractNum w:abstractNumId="15" w15:restartNumberingAfterBreak="0">
    <w:nsid w:val="40BA51AE"/>
    <w:multiLevelType w:val="multilevel"/>
    <w:tmpl w:val="6AFE0DFA"/>
    <w:numStyleLink w:val="AppendixHeadingmaster"/>
  </w:abstractNum>
  <w:abstractNum w:abstractNumId="16"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3C7056"/>
    <w:multiLevelType w:val="multilevel"/>
    <w:tmpl w:val="D08C4A56"/>
    <w:numStyleLink w:val="Headingsmaster"/>
  </w:abstractNum>
  <w:abstractNum w:abstractNumId="18" w15:restartNumberingAfterBreak="0">
    <w:nsid w:val="4E8A58CE"/>
    <w:multiLevelType w:val="multilevel"/>
    <w:tmpl w:val="29286FFC"/>
    <w:numStyleLink w:val="ListNumbermaster"/>
  </w:abstractNum>
  <w:abstractNum w:abstractNumId="19" w15:restartNumberingAfterBreak="0">
    <w:nsid w:val="4ED87003"/>
    <w:multiLevelType w:val="multilevel"/>
    <w:tmpl w:val="6AFE0DFA"/>
    <w:numStyleLink w:val="AppendixHeadingmaster"/>
  </w:abstractNum>
  <w:abstractNum w:abstractNumId="20" w15:restartNumberingAfterBreak="0">
    <w:nsid w:val="51910100"/>
    <w:multiLevelType w:val="multilevel"/>
    <w:tmpl w:val="D08C4A56"/>
    <w:numStyleLink w:val="Headingsmaster"/>
  </w:abstractNum>
  <w:abstractNum w:abstractNumId="21" w15:restartNumberingAfterBreak="0">
    <w:nsid w:val="57A51FC2"/>
    <w:multiLevelType w:val="multilevel"/>
    <w:tmpl w:val="49B89FF0"/>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32D74CC"/>
    <w:multiLevelType w:val="multilevel"/>
    <w:tmpl w:val="6AFE0DFA"/>
    <w:numStyleLink w:val="AppendixHeadingmaster"/>
  </w:abstractNum>
  <w:abstractNum w:abstractNumId="24" w15:restartNumberingAfterBreak="0">
    <w:nsid w:val="648E6CBA"/>
    <w:multiLevelType w:val="multilevel"/>
    <w:tmpl w:val="54DAB268"/>
    <w:styleLink w:val="ListBulletmaster"/>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Wingdings" w:hAnsi="Wingdings"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E659CA"/>
    <w:multiLevelType w:val="multilevel"/>
    <w:tmpl w:val="54DAB268"/>
    <w:numStyleLink w:val="ListBulletmaster"/>
  </w:abstractNum>
  <w:abstractNum w:abstractNumId="26" w15:restartNumberingAfterBreak="0">
    <w:nsid w:val="69EF3BF9"/>
    <w:multiLevelType w:val="multilevel"/>
    <w:tmpl w:val="D08C4A56"/>
    <w:numStyleLink w:val="Headingsmaster"/>
  </w:abstractNum>
  <w:abstractNum w:abstractNumId="27" w15:restartNumberingAfterBreak="0">
    <w:nsid w:val="6B4C12B8"/>
    <w:multiLevelType w:val="multilevel"/>
    <w:tmpl w:val="D08C4A56"/>
    <w:numStyleLink w:val="Headingsmaster"/>
  </w:abstractNum>
  <w:abstractNum w:abstractNumId="28" w15:restartNumberingAfterBreak="0">
    <w:nsid w:val="6C3F031A"/>
    <w:multiLevelType w:val="multilevel"/>
    <w:tmpl w:val="A1224394"/>
    <w:numStyleLink w:val="ListLegalmaster"/>
  </w:abstractNum>
  <w:abstractNum w:abstractNumId="29" w15:restartNumberingAfterBreak="0">
    <w:nsid w:val="704140A1"/>
    <w:multiLevelType w:val="multilevel"/>
    <w:tmpl w:val="D08C4A56"/>
    <w:numStyleLink w:val="Headingsmaster"/>
  </w:abstractNum>
  <w:abstractNum w:abstractNumId="30" w15:restartNumberingAfterBreak="0">
    <w:nsid w:val="75854E65"/>
    <w:multiLevelType w:val="multilevel"/>
    <w:tmpl w:val="6AFE0DFA"/>
    <w:numStyleLink w:val="AppendixHeadingmaster"/>
  </w:abstractNum>
  <w:abstractNum w:abstractNumId="31" w15:restartNumberingAfterBreak="0">
    <w:nsid w:val="79F8707D"/>
    <w:multiLevelType w:val="multilevel"/>
    <w:tmpl w:val="A1224394"/>
    <w:numStyleLink w:val="ListLegalmaster"/>
  </w:abstractNum>
  <w:abstractNum w:abstractNumId="32" w15:restartNumberingAfterBreak="0">
    <w:nsid w:val="7D881735"/>
    <w:multiLevelType w:val="multilevel"/>
    <w:tmpl w:val="D08C4A56"/>
    <w:numStyleLink w:val="Headingsmaster"/>
  </w:abstractNum>
  <w:num w:numId="1">
    <w:abstractNumId w:val="3"/>
  </w:num>
  <w:num w:numId="2">
    <w:abstractNumId w:val="22"/>
  </w:num>
  <w:num w:numId="3">
    <w:abstractNumId w:val="5"/>
  </w:num>
  <w:num w:numId="4">
    <w:abstractNumId w:val="24"/>
  </w:num>
  <w:num w:numId="5">
    <w:abstractNumId w:val="13"/>
  </w:num>
  <w:num w:numId="6">
    <w:abstractNumId w:val="21"/>
  </w:num>
  <w:num w:numId="7">
    <w:abstractNumId w:val="7"/>
  </w:num>
  <w:num w:numId="8">
    <w:abstractNumId w:val="1"/>
  </w:num>
  <w:num w:numId="9">
    <w:abstractNumId w:val="16"/>
  </w:num>
  <w:num w:numId="10">
    <w:abstractNumId w:val="4"/>
  </w:num>
  <w:num w:numId="11">
    <w:abstractNumId w:val="25"/>
  </w:num>
  <w:num w:numId="12">
    <w:abstractNumId w:val="6"/>
  </w:num>
  <w:num w:numId="13">
    <w:abstractNumId w:val="9"/>
  </w:num>
  <w:num w:numId="14">
    <w:abstractNumId w:val="31"/>
  </w:num>
  <w:num w:numId="15">
    <w:abstractNumId w:val="27"/>
  </w:num>
  <w:num w:numId="16">
    <w:abstractNumId w:val="23"/>
  </w:num>
  <w:num w:numId="17">
    <w:abstractNumId w:val="28"/>
  </w:num>
  <w:num w:numId="18">
    <w:abstractNumId w:val="9"/>
  </w:num>
  <w:num w:numId="19">
    <w:abstractNumId w:val="28"/>
  </w:num>
  <w:num w:numId="20">
    <w:abstractNumId w:val="28"/>
  </w:num>
  <w:num w:numId="21">
    <w:abstractNumId w:val="20"/>
  </w:num>
  <w:num w:numId="22">
    <w:abstractNumId w:val="32"/>
  </w:num>
  <w:num w:numId="23">
    <w:abstractNumId w:val="18"/>
  </w:num>
  <w:num w:numId="24">
    <w:abstractNumId w:val="12"/>
  </w:num>
  <w:num w:numId="25">
    <w:abstractNumId w:val="30"/>
  </w:num>
  <w:num w:numId="26">
    <w:abstractNumId w:val="0"/>
  </w:num>
  <w:num w:numId="27">
    <w:abstractNumId w:val="11"/>
  </w:num>
  <w:num w:numId="28">
    <w:abstractNumId w:val="19"/>
  </w:num>
  <w:num w:numId="29">
    <w:abstractNumId w:val="14"/>
  </w:num>
  <w:num w:numId="30">
    <w:abstractNumId w:val="8"/>
  </w:num>
  <w:num w:numId="31">
    <w:abstractNumId w:val="26"/>
  </w:num>
  <w:num w:numId="32">
    <w:abstractNumId w:val="17"/>
  </w:num>
  <w:num w:numId="33">
    <w:abstractNumId w:val="2"/>
  </w:num>
  <w:num w:numId="34">
    <w:abstractNumId w:val="15"/>
  </w:num>
  <w:num w:numId="35">
    <w:abstractNumId w:val="29"/>
  </w:num>
  <w:num w:numId="36">
    <w:abstractNumId w:val="2"/>
  </w:num>
  <w:num w:numId="37">
    <w:abstractNumId w:val="2"/>
  </w:num>
  <w:num w:numId="38">
    <w:abstractNumId w:val="2"/>
  </w:num>
  <w:num w:numId="39">
    <w:abstractNumId w:val="2"/>
  </w:num>
  <w:num w:numId="40">
    <w:abstractNumId w:val="2"/>
  </w:num>
  <w:num w:numId="41">
    <w:abstractNumId w:val="5"/>
  </w:num>
  <w:num w:numId="4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E3sTSzMDEyMjCyMDZU0lEKTi0uzszPAykwrgUA5MdhVywAAAA="/>
  </w:docVars>
  <w:rsids>
    <w:rsidRoot w:val="00346F35"/>
    <w:rsid w:val="00005ECE"/>
    <w:rsid w:val="00011665"/>
    <w:rsid w:val="00011EB2"/>
    <w:rsid w:val="0001365E"/>
    <w:rsid w:val="0002738A"/>
    <w:rsid w:val="000362A7"/>
    <w:rsid w:val="000419F4"/>
    <w:rsid w:val="0004497B"/>
    <w:rsid w:val="00051941"/>
    <w:rsid w:val="00051A1B"/>
    <w:rsid w:val="00063B52"/>
    <w:rsid w:val="00066B58"/>
    <w:rsid w:val="00067E06"/>
    <w:rsid w:val="000758B0"/>
    <w:rsid w:val="00075A4B"/>
    <w:rsid w:val="000828E6"/>
    <w:rsid w:val="00083109"/>
    <w:rsid w:val="00093021"/>
    <w:rsid w:val="00093BA2"/>
    <w:rsid w:val="000A319E"/>
    <w:rsid w:val="000A46DC"/>
    <w:rsid w:val="000A53F7"/>
    <w:rsid w:val="000A625C"/>
    <w:rsid w:val="000A71A9"/>
    <w:rsid w:val="000A7A72"/>
    <w:rsid w:val="000B295F"/>
    <w:rsid w:val="000C7D4C"/>
    <w:rsid w:val="000C7EF7"/>
    <w:rsid w:val="000D5689"/>
    <w:rsid w:val="000E28CC"/>
    <w:rsid w:val="000F066B"/>
    <w:rsid w:val="000F0B5C"/>
    <w:rsid w:val="000F47D3"/>
    <w:rsid w:val="001013B4"/>
    <w:rsid w:val="00104750"/>
    <w:rsid w:val="001057A3"/>
    <w:rsid w:val="00111795"/>
    <w:rsid w:val="001346AE"/>
    <w:rsid w:val="00135AD0"/>
    <w:rsid w:val="001444B2"/>
    <w:rsid w:val="00145491"/>
    <w:rsid w:val="0014753B"/>
    <w:rsid w:val="00172538"/>
    <w:rsid w:val="00186429"/>
    <w:rsid w:val="001A7E36"/>
    <w:rsid w:val="001C0CA5"/>
    <w:rsid w:val="001C1CF7"/>
    <w:rsid w:val="001C4183"/>
    <w:rsid w:val="001C5408"/>
    <w:rsid w:val="001D450D"/>
    <w:rsid w:val="001D5607"/>
    <w:rsid w:val="001E2B55"/>
    <w:rsid w:val="001F433C"/>
    <w:rsid w:val="001F60C9"/>
    <w:rsid w:val="0020139C"/>
    <w:rsid w:val="00201E49"/>
    <w:rsid w:val="00203BC1"/>
    <w:rsid w:val="002148F8"/>
    <w:rsid w:val="0023754A"/>
    <w:rsid w:val="00241524"/>
    <w:rsid w:val="00241C5C"/>
    <w:rsid w:val="002548AD"/>
    <w:rsid w:val="00254A8B"/>
    <w:rsid w:val="002833D7"/>
    <w:rsid w:val="00284741"/>
    <w:rsid w:val="0028539D"/>
    <w:rsid w:val="00291313"/>
    <w:rsid w:val="00296466"/>
    <w:rsid w:val="002A13A9"/>
    <w:rsid w:val="002A50F4"/>
    <w:rsid w:val="002A51E7"/>
    <w:rsid w:val="002B3BCD"/>
    <w:rsid w:val="002B4856"/>
    <w:rsid w:val="002C68AE"/>
    <w:rsid w:val="002D4EAE"/>
    <w:rsid w:val="002E51B6"/>
    <w:rsid w:val="0030050F"/>
    <w:rsid w:val="0031746B"/>
    <w:rsid w:val="00323771"/>
    <w:rsid w:val="0032482D"/>
    <w:rsid w:val="003254F1"/>
    <w:rsid w:val="00325DE5"/>
    <w:rsid w:val="0033345A"/>
    <w:rsid w:val="0034315B"/>
    <w:rsid w:val="00346F35"/>
    <w:rsid w:val="00347650"/>
    <w:rsid w:val="00350C16"/>
    <w:rsid w:val="00352C32"/>
    <w:rsid w:val="003531B8"/>
    <w:rsid w:val="003607DA"/>
    <w:rsid w:val="00363E96"/>
    <w:rsid w:val="00367157"/>
    <w:rsid w:val="00376E66"/>
    <w:rsid w:val="00380640"/>
    <w:rsid w:val="00384297"/>
    <w:rsid w:val="00391C30"/>
    <w:rsid w:val="00392663"/>
    <w:rsid w:val="00394910"/>
    <w:rsid w:val="0039559F"/>
    <w:rsid w:val="00396898"/>
    <w:rsid w:val="003970CC"/>
    <w:rsid w:val="003A7FC3"/>
    <w:rsid w:val="003B29C2"/>
    <w:rsid w:val="003C1675"/>
    <w:rsid w:val="003C541A"/>
    <w:rsid w:val="003D153D"/>
    <w:rsid w:val="003D2B56"/>
    <w:rsid w:val="003D6B5E"/>
    <w:rsid w:val="003E4893"/>
    <w:rsid w:val="003F0B9B"/>
    <w:rsid w:val="003F212D"/>
    <w:rsid w:val="00400E12"/>
    <w:rsid w:val="00402E7E"/>
    <w:rsid w:val="00434ACE"/>
    <w:rsid w:val="004417CF"/>
    <w:rsid w:val="00451BDD"/>
    <w:rsid w:val="00452A9D"/>
    <w:rsid w:val="00475269"/>
    <w:rsid w:val="00475689"/>
    <w:rsid w:val="004819B0"/>
    <w:rsid w:val="00486277"/>
    <w:rsid w:val="004A37CA"/>
    <w:rsid w:val="004A5C0C"/>
    <w:rsid w:val="004C112A"/>
    <w:rsid w:val="004C2D7F"/>
    <w:rsid w:val="004C61A6"/>
    <w:rsid w:val="004C6243"/>
    <w:rsid w:val="004C7276"/>
    <w:rsid w:val="004D3CB9"/>
    <w:rsid w:val="004D5181"/>
    <w:rsid w:val="004E0B39"/>
    <w:rsid w:val="004F4F53"/>
    <w:rsid w:val="005012B2"/>
    <w:rsid w:val="00501D61"/>
    <w:rsid w:val="0051246D"/>
    <w:rsid w:val="00517725"/>
    <w:rsid w:val="00517B67"/>
    <w:rsid w:val="00520D29"/>
    <w:rsid w:val="00521BAE"/>
    <w:rsid w:val="0053262E"/>
    <w:rsid w:val="0054454E"/>
    <w:rsid w:val="00561238"/>
    <w:rsid w:val="00565188"/>
    <w:rsid w:val="0058216D"/>
    <w:rsid w:val="00592C0C"/>
    <w:rsid w:val="00597BA8"/>
    <w:rsid w:val="005A400D"/>
    <w:rsid w:val="005B058C"/>
    <w:rsid w:val="005B6117"/>
    <w:rsid w:val="005B6A04"/>
    <w:rsid w:val="005C6D5F"/>
    <w:rsid w:val="005D2B12"/>
    <w:rsid w:val="005D3BA8"/>
    <w:rsid w:val="00600004"/>
    <w:rsid w:val="00621ED8"/>
    <w:rsid w:val="00631A6E"/>
    <w:rsid w:val="006328AE"/>
    <w:rsid w:val="00643784"/>
    <w:rsid w:val="00661277"/>
    <w:rsid w:val="00665F0F"/>
    <w:rsid w:val="00666CDC"/>
    <w:rsid w:val="00670134"/>
    <w:rsid w:val="006722C0"/>
    <w:rsid w:val="0067245F"/>
    <w:rsid w:val="00680545"/>
    <w:rsid w:val="00686262"/>
    <w:rsid w:val="00686D50"/>
    <w:rsid w:val="0069066D"/>
    <w:rsid w:val="00690B2A"/>
    <w:rsid w:val="0069656A"/>
    <w:rsid w:val="006A05AB"/>
    <w:rsid w:val="006A095D"/>
    <w:rsid w:val="006B5C94"/>
    <w:rsid w:val="006D26D8"/>
    <w:rsid w:val="006D2EB5"/>
    <w:rsid w:val="006F1175"/>
    <w:rsid w:val="00701F81"/>
    <w:rsid w:val="00713506"/>
    <w:rsid w:val="007320A7"/>
    <w:rsid w:val="00732448"/>
    <w:rsid w:val="00735B41"/>
    <w:rsid w:val="007410A8"/>
    <w:rsid w:val="007433EF"/>
    <w:rsid w:val="00745CC7"/>
    <w:rsid w:val="00750F61"/>
    <w:rsid w:val="00753F6B"/>
    <w:rsid w:val="00773207"/>
    <w:rsid w:val="007749A5"/>
    <w:rsid w:val="00785AB3"/>
    <w:rsid w:val="007860EA"/>
    <w:rsid w:val="007921B4"/>
    <w:rsid w:val="007A6065"/>
    <w:rsid w:val="007B1DC2"/>
    <w:rsid w:val="007B7E05"/>
    <w:rsid w:val="007C1A44"/>
    <w:rsid w:val="007C701B"/>
    <w:rsid w:val="007C7033"/>
    <w:rsid w:val="007C7814"/>
    <w:rsid w:val="007D0F85"/>
    <w:rsid w:val="007E0BBE"/>
    <w:rsid w:val="007F2684"/>
    <w:rsid w:val="00801470"/>
    <w:rsid w:val="00801B63"/>
    <w:rsid w:val="00810EA6"/>
    <w:rsid w:val="00813600"/>
    <w:rsid w:val="008331A3"/>
    <w:rsid w:val="008513E5"/>
    <w:rsid w:val="00854255"/>
    <w:rsid w:val="00862C3C"/>
    <w:rsid w:val="00870E0B"/>
    <w:rsid w:val="008A0A4F"/>
    <w:rsid w:val="008A19E4"/>
    <w:rsid w:val="008B3D48"/>
    <w:rsid w:val="008C03C9"/>
    <w:rsid w:val="008C612B"/>
    <w:rsid w:val="008D1A24"/>
    <w:rsid w:val="008E138E"/>
    <w:rsid w:val="008E67C3"/>
    <w:rsid w:val="008E7B53"/>
    <w:rsid w:val="008F6AB6"/>
    <w:rsid w:val="008F71EA"/>
    <w:rsid w:val="009017A6"/>
    <w:rsid w:val="00902D27"/>
    <w:rsid w:val="009076EA"/>
    <w:rsid w:val="009128E5"/>
    <w:rsid w:val="00924A82"/>
    <w:rsid w:val="00926242"/>
    <w:rsid w:val="009267F9"/>
    <w:rsid w:val="0093562C"/>
    <w:rsid w:val="00943D2B"/>
    <w:rsid w:val="009574A1"/>
    <w:rsid w:val="00967092"/>
    <w:rsid w:val="00970490"/>
    <w:rsid w:val="0097370B"/>
    <w:rsid w:val="00982493"/>
    <w:rsid w:val="00982AE7"/>
    <w:rsid w:val="009C3CE4"/>
    <w:rsid w:val="009D5C30"/>
    <w:rsid w:val="009D5E9A"/>
    <w:rsid w:val="009D7597"/>
    <w:rsid w:val="009F53CE"/>
    <w:rsid w:val="009F6BB7"/>
    <w:rsid w:val="00A31F8B"/>
    <w:rsid w:val="00A41275"/>
    <w:rsid w:val="00A47A35"/>
    <w:rsid w:val="00A50DD0"/>
    <w:rsid w:val="00A62190"/>
    <w:rsid w:val="00A70B32"/>
    <w:rsid w:val="00A70CBC"/>
    <w:rsid w:val="00A729B1"/>
    <w:rsid w:val="00A729B4"/>
    <w:rsid w:val="00A7342C"/>
    <w:rsid w:val="00A82296"/>
    <w:rsid w:val="00A85552"/>
    <w:rsid w:val="00A912BD"/>
    <w:rsid w:val="00A920D4"/>
    <w:rsid w:val="00A9643E"/>
    <w:rsid w:val="00AA620F"/>
    <w:rsid w:val="00AA6CDE"/>
    <w:rsid w:val="00AB2AE4"/>
    <w:rsid w:val="00AB6FCE"/>
    <w:rsid w:val="00AC5CC3"/>
    <w:rsid w:val="00AD78FD"/>
    <w:rsid w:val="00AE0185"/>
    <w:rsid w:val="00AE375D"/>
    <w:rsid w:val="00AF2AD3"/>
    <w:rsid w:val="00B11DB6"/>
    <w:rsid w:val="00B177C7"/>
    <w:rsid w:val="00B20944"/>
    <w:rsid w:val="00B214CA"/>
    <w:rsid w:val="00B26AAD"/>
    <w:rsid w:val="00B42B34"/>
    <w:rsid w:val="00B846B0"/>
    <w:rsid w:val="00B85E05"/>
    <w:rsid w:val="00BA3365"/>
    <w:rsid w:val="00BB6D6D"/>
    <w:rsid w:val="00BC1110"/>
    <w:rsid w:val="00BC1B34"/>
    <w:rsid w:val="00BD3483"/>
    <w:rsid w:val="00BF33F3"/>
    <w:rsid w:val="00C02BEC"/>
    <w:rsid w:val="00C04227"/>
    <w:rsid w:val="00C0785E"/>
    <w:rsid w:val="00C10933"/>
    <w:rsid w:val="00C41409"/>
    <w:rsid w:val="00C4524E"/>
    <w:rsid w:val="00C5069B"/>
    <w:rsid w:val="00C56DFC"/>
    <w:rsid w:val="00C57B63"/>
    <w:rsid w:val="00C7129E"/>
    <w:rsid w:val="00C77016"/>
    <w:rsid w:val="00C83EF4"/>
    <w:rsid w:val="00C93617"/>
    <w:rsid w:val="00C9404D"/>
    <w:rsid w:val="00C948E5"/>
    <w:rsid w:val="00CA2EAA"/>
    <w:rsid w:val="00CA539A"/>
    <w:rsid w:val="00CA65C4"/>
    <w:rsid w:val="00CA7879"/>
    <w:rsid w:val="00CB577E"/>
    <w:rsid w:val="00CC5000"/>
    <w:rsid w:val="00CC559C"/>
    <w:rsid w:val="00CC6102"/>
    <w:rsid w:val="00CC6CBC"/>
    <w:rsid w:val="00CD443B"/>
    <w:rsid w:val="00CD5A48"/>
    <w:rsid w:val="00CE49B6"/>
    <w:rsid w:val="00CE583A"/>
    <w:rsid w:val="00CE6350"/>
    <w:rsid w:val="00CF1A90"/>
    <w:rsid w:val="00CF7AFE"/>
    <w:rsid w:val="00D03057"/>
    <w:rsid w:val="00D064E2"/>
    <w:rsid w:val="00D220D1"/>
    <w:rsid w:val="00D270D7"/>
    <w:rsid w:val="00D32F3C"/>
    <w:rsid w:val="00D33BDF"/>
    <w:rsid w:val="00D37869"/>
    <w:rsid w:val="00D430D6"/>
    <w:rsid w:val="00D819BE"/>
    <w:rsid w:val="00D827A3"/>
    <w:rsid w:val="00D9037A"/>
    <w:rsid w:val="00D92193"/>
    <w:rsid w:val="00D93B53"/>
    <w:rsid w:val="00D95B4E"/>
    <w:rsid w:val="00D95CAC"/>
    <w:rsid w:val="00D9787C"/>
    <w:rsid w:val="00DA41AA"/>
    <w:rsid w:val="00DB596E"/>
    <w:rsid w:val="00DD0378"/>
    <w:rsid w:val="00DD1639"/>
    <w:rsid w:val="00DD35E1"/>
    <w:rsid w:val="00DE7B07"/>
    <w:rsid w:val="00DF465E"/>
    <w:rsid w:val="00E03B0F"/>
    <w:rsid w:val="00E114F9"/>
    <w:rsid w:val="00E12845"/>
    <w:rsid w:val="00E23C2C"/>
    <w:rsid w:val="00E2606C"/>
    <w:rsid w:val="00E307C7"/>
    <w:rsid w:val="00E47118"/>
    <w:rsid w:val="00E51F6E"/>
    <w:rsid w:val="00E57245"/>
    <w:rsid w:val="00E85CF8"/>
    <w:rsid w:val="00EA2D5D"/>
    <w:rsid w:val="00EB2603"/>
    <w:rsid w:val="00ED1CA6"/>
    <w:rsid w:val="00EF6620"/>
    <w:rsid w:val="00F2610F"/>
    <w:rsid w:val="00F33CAC"/>
    <w:rsid w:val="00F3606D"/>
    <w:rsid w:val="00F51436"/>
    <w:rsid w:val="00F53107"/>
    <w:rsid w:val="00F578A0"/>
    <w:rsid w:val="00F71DBA"/>
    <w:rsid w:val="00F9739B"/>
    <w:rsid w:val="00FB4E9E"/>
    <w:rsid w:val="00FC4611"/>
    <w:rsid w:val="00FC5BA7"/>
    <w:rsid w:val="00FC5D51"/>
    <w:rsid w:val="00FC728C"/>
    <w:rsid w:val="00FD0F9B"/>
    <w:rsid w:val="00FD6818"/>
    <w:rsid w:val="00FF3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68E641"/>
  <w15:docId w15:val="{8EDF2258-BAA5-43F1-83B9-7DFA4AC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4" w:qFormat="1"/>
    <w:lsdException w:name="heading 6" w:locked="0" w:semiHidden="1" w:uiPriority="4"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lsdException w:name="footnote text" w:locked="0" w:semiHidden="1"/>
    <w:lsdException w:name="annotation text" w:locked="0" w:semiHidden="1"/>
    <w:lsdException w:name="header" w:locked="0" w:uiPriority="24" w:unhideWhenUsed="1"/>
    <w:lsdException w:name="footer" w:locked="0" w:uiPriority="24" w:unhideWhenUsed="1"/>
    <w:lsdException w:name="index heading" w:locked="0" w:semiHidden="1"/>
    <w:lsdException w:name="caption" w:locked="0" w:uiPriority="22" w:unhideWhenUsed="1"/>
    <w:lsdException w:name="table of figures" w:locked="0" w:unhideWhenUsed="1"/>
    <w:lsdException w:name="envelope address" w:locked="0" w:semiHidden="1"/>
    <w:lsdException w:name="envelope return" w:locked="0" w:semiHidden="1"/>
    <w:lsdException w:name="footnote reference" w:locked="0" w:semiHidden="1"/>
    <w:lsdException w:name="annotation reference" w:locked="0" w:semiHidden="1"/>
    <w:lsdException w:name="line number" w:locked="0" w:semiHidden="1"/>
    <w:lsdException w:name="page number" w:locked="0" w:uiPriority="24" w:unhideWhenUsed="1"/>
    <w:lsdException w:name="endnote reference" w:locked="0" w:semiHidden="1"/>
    <w:lsdException w:name="endnote text" w:locked="0" w:semiHidden="1"/>
    <w:lsdException w:name="table of authorities" w:semiHidden="1"/>
    <w:lsdException w:name="macro" w:locked="0" w:semiHidden="1"/>
    <w:lsdException w:name="toa heading" w:locked="0" w:semiHidden="1"/>
    <w:lsdException w:name="List" w:locked="0" w:semiHidden="1"/>
    <w:lsdException w:name="List Bullet" w:locked="0" w:semiHidden="1" w:uiPriority="6" w:unhideWhenUsed="1" w:qFormat="1"/>
    <w:lsdException w:name="List Number" w:locked="0" w:semiHidden="1" w:uiPriority="5" w:unhideWhenUsed="1" w:qFormat="1"/>
    <w:lsdException w:name="List 2" w:locked="0" w:semiHidden="1"/>
    <w:lsdException w:name="List 3" w:locked="0" w:semiHidden="1"/>
    <w:lsdException w:name="List 4" w:locked="0" w:semiHidden="1"/>
    <w:lsdException w:name="List 5" w:locked="0" w:semiHidden="1"/>
    <w:lsdException w:name="List Bullet 2" w:locked="0" w:semiHidden="1" w:uiPriority="6" w:unhideWhenUsed="1" w:qFormat="1"/>
    <w:lsdException w:name="List Bullet 3" w:locked="0" w:semiHidden="1" w:uiPriority="6" w:unhideWhenUsed="1" w:qFormat="1"/>
    <w:lsdException w:name="List Bullet 4" w:locked="0" w:semiHidden="1"/>
    <w:lsdException w:name="List Bullet 5" w:locked="0" w:semiHidden="1"/>
    <w:lsdException w:name="List Number 2" w:locked="0" w:semiHidden="1" w:uiPriority="5" w:unhideWhenUsed="1" w:qFormat="1"/>
    <w:lsdException w:name="List Number 3" w:locked="0" w:semiHidden="1" w:uiPriority="5" w:unhideWhenUsed="1" w:qFormat="1"/>
    <w:lsdException w:name="List Number 4" w:locked="0" w:semiHidden="1"/>
    <w:lsdException w:name="List Number 5" w:locked="0" w:semiHidden="1"/>
    <w:lsdException w:name="Title" w:locked="0" w:uiPriority="24"/>
    <w:lsdException w:name="Closing" w:locked="0" w:semiHidden="1"/>
    <w:lsdException w:name="Signature" w:locked="0" w:semiHidden="1"/>
    <w:lsdException w:name="Default Paragraph Font" w:locked="0" w:semiHidden="1" w:uiPriority="1" w:unhideWhenUsed="1"/>
    <w:lsdException w:name="Body Text" w:locked="0" w:uiPriority="0" w:unhideWhenUsed="1" w:qFormat="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30"/>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qFormat="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semiHidden="1" w:unhideWhenUsed="1"/>
    <w:lsdException w:name="annotation subject" w:locked="0" w:semiHidden="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8"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lsdException w:name="TOC Heading" w:locked="0" w:semiHidden="1" w:uiPriority="2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atentStyles>
  <w:style w:type="paragraph" w:default="1" w:styleId="Normal">
    <w:name w:val="Normal"/>
    <w:semiHidden/>
    <w:qFormat/>
    <w:rsid w:val="00A47A35"/>
    <w:pPr>
      <w:spacing w:before="120" w:after="120" w:line="260" w:lineRule="atLeast"/>
    </w:pPr>
    <w:rPr>
      <w:rFonts w:ascii="Calibri" w:hAnsi="Calibri"/>
      <w:sz w:val="22"/>
      <w:lang w:val="en-AU"/>
    </w:rPr>
  </w:style>
  <w:style w:type="paragraph" w:styleId="Heading1">
    <w:name w:val="heading 1"/>
    <w:basedOn w:val="BodyText"/>
    <w:next w:val="BodyText"/>
    <w:link w:val="Heading1Char"/>
    <w:uiPriority w:val="4"/>
    <w:qFormat/>
    <w:rsid w:val="005D2B12"/>
    <w:pPr>
      <w:keepNext/>
      <w:tabs>
        <w:tab w:val="left" w:pos="1072"/>
      </w:tabs>
      <w:spacing w:before="240" w:after="200" w:line="460" w:lineRule="atLeast"/>
      <w:contextualSpacing/>
      <w:outlineLvl w:val="0"/>
    </w:pPr>
    <w:rPr>
      <w:rFonts w:eastAsia="Times New Roman" w:cs="Arial"/>
      <w:b/>
      <w:bCs/>
      <w:sz w:val="32"/>
      <w:szCs w:val="32"/>
      <w:lang w:eastAsia="en-AU"/>
    </w:rPr>
  </w:style>
  <w:style w:type="paragraph" w:styleId="Heading2">
    <w:name w:val="heading 2"/>
    <w:basedOn w:val="Heading1"/>
    <w:next w:val="BodyText"/>
    <w:link w:val="Heading2Char"/>
    <w:uiPriority w:val="4"/>
    <w:qFormat/>
    <w:rsid w:val="003607DA"/>
    <w:pPr>
      <w:numPr>
        <w:ilvl w:val="1"/>
      </w:numPr>
      <w:spacing w:before="200" w:after="120" w:line="340" w:lineRule="atLeast"/>
      <w:outlineLvl w:val="1"/>
    </w:pPr>
    <w:rPr>
      <w:bCs w:val="0"/>
      <w:iCs/>
      <w:sz w:val="26"/>
      <w:szCs w:val="28"/>
    </w:rPr>
  </w:style>
  <w:style w:type="paragraph" w:styleId="Heading3">
    <w:name w:val="heading 3"/>
    <w:basedOn w:val="Heading1"/>
    <w:next w:val="BodyText"/>
    <w:link w:val="Heading3Char"/>
    <w:uiPriority w:val="4"/>
    <w:qFormat/>
    <w:rsid w:val="003607DA"/>
    <w:pPr>
      <w:numPr>
        <w:ilvl w:val="2"/>
      </w:numPr>
      <w:spacing w:before="200" w:after="120" w:line="340" w:lineRule="atLeast"/>
      <w:outlineLvl w:val="2"/>
    </w:pPr>
    <w:rPr>
      <w:bCs w:val="0"/>
      <w:color w:val="05944A"/>
      <w:sz w:val="22"/>
      <w:szCs w:val="26"/>
    </w:rPr>
  </w:style>
  <w:style w:type="paragraph" w:styleId="Heading4">
    <w:name w:val="heading 4"/>
    <w:basedOn w:val="Heading1"/>
    <w:next w:val="BodyText"/>
    <w:link w:val="Heading4Char"/>
    <w:uiPriority w:val="4"/>
    <w:qFormat/>
    <w:rsid w:val="003607DA"/>
    <w:pPr>
      <w:numPr>
        <w:ilvl w:val="3"/>
      </w:numPr>
      <w:tabs>
        <w:tab w:val="clear" w:pos="1072"/>
      </w:tabs>
      <w:spacing w:before="200" w:after="40" w:line="260" w:lineRule="atLeast"/>
      <w:outlineLvl w:val="3"/>
    </w:pPr>
    <w:rPr>
      <w:bCs w:val="0"/>
      <w:i/>
      <w:sz w:val="22"/>
      <w:szCs w:val="21"/>
    </w:rPr>
  </w:style>
  <w:style w:type="paragraph" w:styleId="Heading5">
    <w:name w:val="heading 5"/>
    <w:basedOn w:val="Normal"/>
    <w:next w:val="Normal"/>
    <w:link w:val="Heading5Char"/>
    <w:uiPriority w:val="4"/>
    <w:semiHidden/>
    <w:qFormat/>
    <w:rsid w:val="00813600"/>
    <w:pPr>
      <w:numPr>
        <w:ilvl w:val="4"/>
        <w:numId w:val="2"/>
      </w:numPr>
      <w:tabs>
        <w:tab w:val="left" w:pos="1021"/>
      </w:tabs>
      <w:spacing w:before="80"/>
      <w:outlineLvl w:val="4"/>
    </w:pPr>
    <w:rPr>
      <w:rFonts w:eastAsia="Times New Roman" w:cs="Times New Roman"/>
      <w:b/>
      <w:bCs/>
      <w:iCs/>
      <w:color w:val="414141"/>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77"/>
    <w:rPr>
      <w:rFonts w:ascii="Tahoma" w:hAnsi="Tahoma" w:cs="Tahoma"/>
      <w:sz w:val="16"/>
      <w:szCs w:val="16"/>
      <w:lang w:val="en-AU"/>
    </w:rPr>
  </w:style>
  <w:style w:type="paragraph" w:styleId="ListBullet">
    <w:name w:val="List Bullet"/>
    <w:basedOn w:val="Normal"/>
    <w:uiPriority w:val="6"/>
    <w:qFormat/>
    <w:rsid w:val="004A37CA"/>
    <w:pPr>
      <w:numPr>
        <w:numId w:val="11"/>
      </w:numPr>
      <w:ind w:left="357" w:hanging="357"/>
    </w:pPr>
    <w:rPr>
      <w:rFonts w:eastAsia="Times New Roman" w:cs="Times New Roman"/>
      <w:szCs w:val="24"/>
      <w:lang w:eastAsia="en-GB"/>
    </w:rPr>
  </w:style>
  <w:style w:type="numbering" w:customStyle="1" w:styleId="ListBulletmaster">
    <w:name w:val="List Bullet (master)"/>
    <w:rsid w:val="009017A6"/>
    <w:pPr>
      <w:numPr>
        <w:numId w:val="4"/>
      </w:numPr>
    </w:pPr>
  </w:style>
  <w:style w:type="paragraph" w:styleId="ListBullet2">
    <w:name w:val="List Bullet 2"/>
    <w:basedOn w:val="Normal"/>
    <w:uiPriority w:val="6"/>
    <w:qFormat/>
    <w:rsid w:val="004A37CA"/>
    <w:pPr>
      <w:numPr>
        <w:ilvl w:val="1"/>
        <w:numId w:val="11"/>
      </w:numPr>
    </w:pPr>
    <w:rPr>
      <w:rFonts w:eastAsia="Times New Roman" w:cs="Times New Roman"/>
      <w:szCs w:val="24"/>
      <w:lang w:eastAsia="en-GB"/>
    </w:rPr>
  </w:style>
  <w:style w:type="paragraph" w:styleId="ListBullet3">
    <w:name w:val="List Bullet 3"/>
    <w:basedOn w:val="Normal"/>
    <w:uiPriority w:val="6"/>
    <w:qFormat/>
    <w:rsid w:val="004A37CA"/>
    <w:pPr>
      <w:numPr>
        <w:ilvl w:val="2"/>
        <w:numId w:val="11"/>
      </w:numPr>
      <w:ind w:left="1071" w:hanging="357"/>
    </w:pPr>
    <w:rPr>
      <w:rFonts w:eastAsia="Times New Roman" w:cs="Times New Roman"/>
      <w:szCs w:val="24"/>
      <w:lang w:eastAsia="en-GB"/>
    </w:rPr>
  </w:style>
  <w:style w:type="numbering" w:customStyle="1" w:styleId="ListNumbermaster">
    <w:name w:val="List Number (master)"/>
    <w:rsid w:val="000F066B"/>
    <w:pPr>
      <w:numPr>
        <w:numId w:val="5"/>
      </w:numPr>
    </w:pPr>
  </w:style>
  <w:style w:type="paragraph" w:styleId="ListNumber2">
    <w:name w:val="List Number 2"/>
    <w:basedOn w:val="Normal"/>
    <w:uiPriority w:val="7"/>
    <w:qFormat/>
    <w:rsid w:val="000F066B"/>
    <w:pPr>
      <w:numPr>
        <w:ilvl w:val="1"/>
        <w:numId w:val="29"/>
      </w:numPr>
    </w:pPr>
    <w:rPr>
      <w:rFonts w:eastAsia="Times New Roman" w:cs="Times New Roman"/>
      <w:szCs w:val="24"/>
      <w:lang w:eastAsia="en-GB"/>
    </w:rPr>
  </w:style>
  <w:style w:type="paragraph" w:styleId="ListNumber3">
    <w:name w:val="List Number 3"/>
    <w:basedOn w:val="Normal"/>
    <w:uiPriority w:val="7"/>
    <w:qFormat/>
    <w:rsid w:val="000F066B"/>
    <w:pPr>
      <w:numPr>
        <w:ilvl w:val="2"/>
        <w:numId w:val="29"/>
      </w:numPr>
    </w:pPr>
    <w:rPr>
      <w:rFonts w:eastAsia="Times New Roman" w:cs="Times New Roman"/>
      <w:szCs w:val="24"/>
      <w:lang w:eastAsia="en-GB"/>
    </w:rPr>
  </w:style>
  <w:style w:type="paragraph" w:styleId="ListNumber">
    <w:name w:val="List Number"/>
    <w:basedOn w:val="Normal"/>
    <w:uiPriority w:val="7"/>
    <w:qFormat/>
    <w:rsid w:val="000F066B"/>
    <w:pPr>
      <w:numPr>
        <w:numId w:val="29"/>
      </w:numPr>
    </w:pPr>
    <w:rPr>
      <w:rFonts w:eastAsia="Times New Roman" w:cs="Times New Roman"/>
      <w:szCs w:val="24"/>
      <w:lang w:eastAsia="en-GB"/>
    </w:rPr>
  </w:style>
  <w:style w:type="paragraph" w:styleId="NoSpacing">
    <w:name w:val="No Spacing"/>
    <w:uiPriority w:val="99"/>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ing1">
    <w:name w:val="Table Heading 1"/>
    <w:basedOn w:val="Normal"/>
    <w:uiPriority w:val="13"/>
    <w:qFormat/>
    <w:rsid w:val="006F1175"/>
    <w:rPr>
      <w:rFonts w:eastAsia="Times New Roman" w:cs="Times New Roman"/>
      <w:b/>
      <w:bCs/>
      <w:szCs w:val="24"/>
      <w:lang w:eastAsia="en-GB"/>
    </w:rPr>
  </w:style>
  <w:style w:type="paragraph" w:customStyle="1" w:styleId="TableListBullet">
    <w:name w:val="Table List Bullet"/>
    <w:basedOn w:val="Normal"/>
    <w:uiPriority w:val="16"/>
    <w:semiHidden/>
    <w:qFormat/>
    <w:rsid w:val="00D37869"/>
    <w:pPr>
      <w:numPr>
        <w:numId w:val="12"/>
      </w:numPr>
      <w:ind w:left="341" w:hanging="284"/>
    </w:pPr>
    <w:rPr>
      <w:rFonts w:eastAsia="Times New Roman" w:cs="Times New Roman"/>
      <w:bCs/>
      <w:sz w:val="18"/>
      <w:szCs w:val="24"/>
      <w:lang w:eastAsia="en-GB"/>
    </w:rPr>
  </w:style>
  <w:style w:type="numbering" w:customStyle="1" w:styleId="TableListBulletmaster">
    <w:name w:val="Table List Bullet (master)"/>
    <w:rsid w:val="009017A6"/>
    <w:pPr>
      <w:numPr>
        <w:numId w:val="6"/>
      </w:numPr>
    </w:pPr>
  </w:style>
  <w:style w:type="paragraph" w:customStyle="1" w:styleId="TableListBullet2">
    <w:name w:val="Table List Bullet 2"/>
    <w:basedOn w:val="TableListBullet"/>
    <w:uiPriority w:val="16"/>
    <w:semiHidden/>
    <w:qFormat/>
    <w:rsid w:val="00FF3F97"/>
    <w:pPr>
      <w:numPr>
        <w:ilvl w:val="1"/>
      </w:numPr>
    </w:pPr>
  </w:style>
  <w:style w:type="paragraph" w:customStyle="1" w:styleId="TableListNumber">
    <w:name w:val="Table List Number"/>
    <w:basedOn w:val="Normal"/>
    <w:uiPriority w:val="16"/>
    <w:semiHidden/>
    <w:qFormat/>
    <w:rsid w:val="00D37869"/>
    <w:pPr>
      <w:numPr>
        <w:numId w:val="8"/>
      </w:numPr>
      <w:ind w:left="357" w:hanging="357"/>
    </w:pPr>
    <w:rPr>
      <w:rFonts w:eastAsia="Times New Roman" w:cs="Times New Roman"/>
      <w:bCs/>
      <w:sz w:val="18"/>
      <w:szCs w:val="24"/>
      <w:lang w:eastAsia="en-GB"/>
    </w:rPr>
  </w:style>
  <w:style w:type="numbering" w:customStyle="1" w:styleId="TableListNumbermaster">
    <w:name w:val="Table List Number (master)"/>
    <w:rsid w:val="000419F4"/>
    <w:pPr>
      <w:numPr>
        <w:numId w:val="7"/>
      </w:numPr>
    </w:pPr>
  </w:style>
  <w:style w:type="paragraph" w:customStyle="1" w:styleId="TableListNumber2">
    <w:name w:val="Table List Number 2"/>
    <w:basedOn w:val="TableListNumber"/>
    <w:uiPriority w:val="16"/>
    <w:semiHidden/>
    <w:qFormat/>
    <w:rsid w:val="00FF3F97"/>
    <w:pPr>
      <w:numPr>
        <w:ilvl w:val="1"/>
      </w:numPr>
      <w:ind w:left="714" w:hanging="357"/>
    </w:pPr>
  </w:style>
  <w:style w:type="paragraph" w:customStyle="1" w:styleId="TableBodyText">
    <w:name w:val="Table Body Text"/>
    <w:basedOn w:val="Normal"/>
    <w:uiPriority w:val="14"/>
    <w:qFormat/>
    <w:rsid w:val="00520D29"/>
    <w:rPr>
      <w:rFonts w:eastAsia="Times New Roman" w:cs="Times New Roman"/>
      <w:bCs/>
      <w:szCs w:val="24"/>
      <w:lang w:eastAsia="en-GB"/>
    </w:rPr>
  </w:style>
  <w:style w:type="paragraph" w:customStyle="1" w:styleId="TableBodyTextsmall">
    <w:name w:val="Table Body Text (small)"/>
    <w:basedOn w:val="TableBodyText"/>
    <w:uiPriority w:val="17"/>
    <w:qFormat/>
    <w:rsid w:val="00067E06"/>
    <w:pPr>
      <w:spacing w:before="40" w:after="40" w:line="100" w:lineRule="atLeast"/>
    </w:pPr>
  </w:style>
  <w:style w:type="character" w:customStyle="1" w:styleId="Characterbold">
    <w:name w:val="Character (bold)"/>
    <w:basedOn w:val="DefaultParagraphFont"/>
    <w:uiPriority w:val="2"/>
    <w:qFormat/>
    <w:rsid w:val="005012B2"/>
    <w:rPr>
      <w:b/>
      <w:lang w:val="en-AU"/>
    </w:rPr>
  </w:style>
  <w:style w:type="character" w:customStyle="1" w:styleId="Characteritalic">
    <w:name w:val="Character (italic)"/>
    <w:basedOn w:val="DefaultParagraphFont"/>
    <w:uiPriority w:val="2"/>
    <w:qFormat/>
    <w:rsid w:val="005012B2"/>
    <w:rPr>
      <w:i/>
      <w:lang w:val="en-AU"/>
    </w:rPr>
  </w:style>
  <w:style w:type="character" w:customStyle="1" w:styleId="Charactersubscript">
    <w:name w:val="Character (subscript)"/>
    <w:basedOn w:val="DefaultParagraphFont"/>
    <w:uiPriority w:val="3"/>
    <w:qFormat/>
    <w:rsid w:val="005012B2"/>
    <w:rPr>
      <w:vertAlign w:val="subscript"/>
      <w:lang w:val="en-AU"/>
    </w:rPr>
  </w:style>
  <w:style w:type="character" w:customStyle="1" w:styleId="Charactersuperscript">
    <w:name w:val="Character (superscript)"/>
    <w:basedOn w:val="DefaultParagraphFont"/>
    <w:uiPriority w:val="3"/>
    <w:qFormat/>
    <w:rsid w:val="005012B2"/>
    <w:rPr>
      <w:vertAlign w:val="superscript"/>
      <w:lang w:val="en-AU"/>
    </w:rPr>
  </w:style>
  <w:style w:type="character" w:customStyle="1" w:styleId="Characterunderline">
    <w:name w:val="Character (underline)"/>
    <w:basedOn w:val="DefaultParagraphFont"/>
    <w:uiPriority w:val="2"/>
    <w:qFormat/>
    <w:rsid w:val="005012B2"/>
    <w:rPr>
      <w:u w:val="single"/>
      <w:lang w:val="en-AU"/>
    </w:rPr>
  </w:style>
  <w:style w:type="paragraph" w:styleId="ListParagraph">
    <w:name w:val="List Paragraph"/>
    <w:basedOn w:val="Normal"/>
    <w:uiPriority w:val="99"/>
    <w:semiHidden/>
    <w:qFormat/>
    <w:rsid w:val="0023754A"/>
    <w:pPr>
      <w:ind w:left="720"/>
      <w:contextualSpacing/>
    </w:pPr>
  </w:style>
  <w:style w:type="character" w:customStyle="1" w:styleId="Heading1Char">
    <w:name w:val="Heading 1 Char"/>
    <w:basedOn w:val="DefaultParagraphFont"/>
    <w:link w:val="Heading1"/>
    <w:uiPriority w:val="4"/>
    <w:rsid w:val="002B4856"/>
    <w:rPr>
      <w:rFonts w:ascii="Calibri" w:eastAsia="Times New Roman" w:hAnsi="Calibri" w:cs="Arial"/>
      <w:b/>
      <w:bCs/>
      <w:sz w:val="32"/>
      <w:szCs w:val="32"/>
      <w:lang w:val="en-AU" w:eastAsia="en-AU"/>
    </w:rPr>
  </w:style>
  <w:style w:type="character" w:customStyle="1" w:styleId="Heading2Char">
    <w:name w:val="Heading 2 Char"/>
    <w:basedOn w:val="DefaultParagraphFont"/>
    <w:link w:val="Heading2"/>
    <w:uiPriority w:val="4"/>
    <w:rsid w:val="002B4856"/>
    <w:rPr>
      <w:rFonts w:ascii="Calibri" w:eastAsia="Times New Roman" w:hAnsi="Calibri" w:cs="Arial"/>
      <w:b/>
      <w:iCs/>
      <w:sz w:val="26"/>
      <w:szCs w:val="28"/>
      <w:lang w:val="en-AU" w:eastAsia="en-AU"/>
    </w:rPr>
  </w:style>
  <w:style w:type="character" w:customStyle="1" w:styleId="Heading3Char">
    <w:name w:val="Heading 3 Char"/>
    <w:basedOn w:val="DefaultParagraphFont"/>
    <w:link w:val="Heading3"/>
    <w:uiPriority w:val="4"/>
    <w:rsid w:val="002B4856"/>
    <w:rPr>
      <w:rFonts w:ascii="Calibri" w:eastAsia="Times New Roman" w:hAnsi="Calibri" w:cs="Arial"/>
      <w:b/>
      <w:color w:val="05944A"/>
      <w:sz w:val="22"/>
      <w:szCs w:val="26"/>
      <w:lang w:val="en-AU" w:eastAsia="en-AU"/>
    </w:rPr>
  </w:style>
  <w:style w:type="character" w:customStyle="1" w:styleId="Heading4Char">
    <w:name w:val="Heading 4 Char"/>
    <w:basedOn w:val="DefaultParagraphFont"/>
    <w:link w:val="Heading4"/>
    <w:uiPriority w:val="4"/>
    <w:rsid w:val="002B4856"/>
    <w:rPr>
      <w:rFonts w:ascii="Calibri" w:eastAsia="Times New Roman" w:hAnsi="Calibri" w:cs="Arial"/>
      <w:b/>
      <w:i/>
      <w:sz w:val="22"/>
      <w:szCs w:val="21"/>
      <w:lang w:val="en-AU" w:eastAsia="en-AU"/>
    </w:rPr>
  </w:style>
  <w:style w:type="character" w:customStyle="1" w:styleId="Heading5Char">
    <w:name w:val="Heading 5 Char"/>
    <w:basedOn w:val="DefaultParagraphFont"/>
    <w:link w:val="Heading5"/>
    <w:uiPriority w:val="4"/>
    <w:semiHidden/>
    <w:rsid w:val="003C1675"/>
    <w:rPr>
      <w:rFonts w:ascii="Calibri" w:eastAsia="Times New Roman" w:hAnsi="Calibri" w:cs="Times New Roman"/>
      <w:b/>
      <w:bCs/>
      <w:iCs/>
      <w:color w:val="414141"/>
      <w:sz w:val="22"/>
      <w:lang w:val="en-GB" w:eastAsia="en-AU"/>
    </w:rPr>
  </w:style>
  <w:style w:type="paragraph" w:customStyle="1" w:styleId="AppendixHeading1">
    <w:name w:val="Appendix Heading 1"/>
    <w:basedOn w:val="Heading1"/>
    <w:next w:val="BodyText"/>
    <w:uiPriority w:val="5"/>
    <w:qFormat/>
    <w:rsid w:val="00051A1B"/>
    <w:pPr>
      <w:keepNext w:val="0"/>
      <w:numPr>
        <w:numId w:val="34"/>
      </w:numPr>
      <w:tabs>
        <w:tab w:val="clear" w:pos="1072"/>
        <w:tab w:val="left" w:pos="1429"/>
      </w:tabs>
      <w:suppressAutoHyphens/>
    </w:pPr>
    <w:rPr>
      <w:szCs w:val="30"/>
    </w:rPr>
  </w:style>
  <w:style w:type="numbering" w:customStyle="1" w:styleId="AppendixHeadingmaster">
    <w:name w:val="Appendix Heading (master)"/>
    <w:uiPriority w:val="99"/>
    <w:rsid w:val="00051A1B"/>
    <w:pPr>
      <w:numPr>
        <w:numId w:val="1"/>
      </w:numPr>
    </w:pPr>
  </w:style>
  <w:style w:type="paragraph" w:styleId="BodyText">
    <w:name w:val="Body Text"/>
    <w:basedOn w:val="Normal"/>
    <w:link w:val="BodyTextChar"/>
    <w:qFormat/>
    <w:rsid w:val="004A37CA"/>
  </w:style>
  <w:style w:type="character" w:customStyle="1" w:styleId="BodyTextChar">
    <w:name w:val="Body Text Char"/>
    <w:basedOn w:val="DefaultParagraphFont"/>
    <w:link w:val="BodyText"/>
    <w:rsid w:val="00E2606C"/>
    <w:rPr>
      <w:rFonts w:ascii="Arial" w:hAnsi="Arial"/>
      <w:lang w:val="en-AU"/>
    </w:rPr>
  </w:style>
  <w:style w:type="paragraph" w:customStyle="1" w:styleId="AppendixHeading2">
    <w:name w:val="Appendix Heading 2"/>
    <w:basedOn w:val="AppendixHeading1"/>
    <w:next w:val="BodyText"/>
    <w:uiPriority w:val="5"/>
    <w:qFormat/>
    <w:rsid w:val="009128E5"/>
    <w:pPr>
      <w:keepNext/>
      <w:numPr>
        <w:ilvl w:val="1"/>
      </w:numPr>
      <w:spacing w:before="160" w:after="120"/>
    </w:pPr>
    <w:rPr>
      <w:color w:val="05944A"/>
      <w:sz w:val="23"/>
    </w:rPr>
  </w:style>
  <w:style w:type="paragraph" w:customStyle="1" w:styleId="AppendixHeading3">
    <w:name w:val="Appendix Heading 3"/>
    <w:basedOn w:val="Heading1"/>
    <w:next w:val="BodyText"/>
    <w:uiPriority w:val="5"/>
    <w:semiHidden/>
    <w:rsid w:val="000419F4"/>
    <w:pPr>
      <w:suppressAutoHyphens/>
      <w:spacing w:after="120" w:line="312" w:lineRule="auto"/>
    </w:pPr>
    <w:rPr>
      <w:b w:val="0"/>
      <w:color w:val="0C9FCD"/>
      <w:sz w:val="26"/>
      <w:szCs w:val="30"/>
    </w:rPr>
  </w:style>
  <w:style w:type="paragraph" w:customStyle="1" w:styleId="Heading1unnumbered">
    <w:name w:val="Heading 1 (unnumbered)"/>
    <w:basedOn w:val="Heading1"/>
    <w:next w:val="BodyText"/>
    <w:uiPriority w:val="5"/>
    <w:semiHidden/>
    <w:qFormat/>
    <w:rsid w:val="009D5E9A"/>
  </w:style>
  <w:style w:type="numbering" w:customStyle="1" w:styleId="Headingsmaster">
    <w:name w:val="Headings (master)"/>
    <w:uiPriority w:val="99"/>
    <w:rsid w:val="003607DA"/>
    <w:pPr>
      <w:numPr>
        <w:numId w:val="3"/>
      </w:numPr>
    </w:pPr>
  </w:style>
  <w:style w:type="paragraph" w:customStyle="1" w:styleId="Image">
    <w:name w:val="Image"/>
    <w:basedOn w:val="Normal"/>
    <w:next w:val="BodyText"/>
    <w:uiPriority w:val="19"/>
    <w:qFormat/>
    <w:rsid w:val="009F6BB7"/>
    <w:rPr>
      <w:rFonts w:eastAsia="Times New Roman" w:cs="Times New Roman"/>
      <w:szCs w:val="24"/>
      <w:lang w:eastAsia="en-AU"/>
    </w:rPr>
  </w:style>
  <w:style w:type="paragraph" w:customStyle="1" w:styleId="InstructionalText">
    <w:name w:val="Instructional Text"/>
    <w:basedOn w:val="Normal"/>
    <w:uiPriority w:val="40"/>
    <w:semiHidden/>
    <w:rsid w:val="000419F4"/>
    <w:pPr>
      <w:spacing w:after="80" w:line="288" w:lineRule="auto"/>
    </w:pPr>
    <w:rPr>
      <w:rFonts w:eastAsia="Times New Roman" w:cs="Times New Roman"/>
      <w:vanish/>
      <w:color w:val="FF0000"/>
      <w:sz w:val="16"/>
      <w:szCs w:val="24"/>
      <w:lang w:eastAsia="en-GB"/>
    </w:rPr>
  </w:style>
  <w:style w:type="paragraph" w:customStyle="1" w:styleId="TableNote">
    <w:name w:val="Table Note"/>
    <w:basedOn w:val="TableBodyText"/>
    <w:next w:val="BodyText"/>
    <w:uiPriority w:val="17"/>
    <w:qFormat/>
    <w:rsid w:val="002B3BCD"/>
    <w:pPr>
      <w:spacing w:before="80" w:after="80" w:line="200" w:lineRule="atLeast"/>
    </w:pPr>
    <w:rPr>
      <w:sz w:val="17"/>
    </w:rPr>
  </w:style>
  <w:style w:type="paragraph" w:customStyle="1" w:styleId="TableBodyTextrightalign">
    <w:name w:val="Table Body Text (right align)"/>
    <w:basedOn w:val="TableBodyText"/>
    <w:uiPriority w:val="17"/>
    <w:qFormat/>
    <w:rsid w:val="00520D29"/>
    <w:pPr>
      <w:jc w:val="right"/>
    </w:pPr>
  </w:style>
  <w:style w:type="table" w:styleId="TableGrid">
    <w:name w:val="Table Grid"/>
    <w:basedOn w:val="TableNormal"/>
    <w:uiPriority w:val="59"/>
    <w:rsid w:val="00D32F3C"/>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val="0"/>
        <w:sz w:val="18"/>
      </w:rPr>
      <w:tblPr/>
      <w:trPr>
        <w:tblHeader/>
      </w:trPr>
      <w:tcPr>
        <w:shd w:val="clear" w:color="auto" w:fill="F2F2F2" w:themeFill="background1" w:themeFillShade="F2"/>
      </w:tcPr>
    </w:tblStylePr>
  </w:style>
  <w:style w:type="paragraph" w:styleId="Quote">
    <w:name w:val="Quote"/>
    <w:basedOn w:val="Normal"/>
    <w:link w:val="QuoteChar"/>
    <w:uiPriority w:val="18"/>
    <w:qFormat/>
    <w:rsid w:val="009F6BB7"/>
    <w:pPr>
      <w:ind w:left="1021" w:right="1021"/>
    </w:pPr>
    <w:rPr>
      <w:i/>
      <w:iCs/>
    </w:rPr>
  </w:style>
  <w:style w:type="character" w:customStyle="1" w:styleId="QuoteChar">
    <w:name w:val="Quote Char"/>
    <w:basedOn w:val="DefaultParagraphFont"/>
    <w:link w:val="Quote"/>
    <w:uiPriority w:val="18"/>
    <w:rsid w:val="003C541A"/>
    <w:rPr>
      <w:rFonts w:ascii="Calibri" w:hAnsi="Calibri"/>
      <w:i/>
      <w:iCs/>
      <w:lang w:val="en-AU"/>
    </w:rPr>
  </w:style>
  <w:style w:type="paragraph" w:styleId="Header">
    <w:name w:val="header"/>
    <w:basedOn w:val="Normal"/>
    <w:link w:val="HeaderChar"/>
    <w:uiPriority w:val="24"/>
    <w:semiHidden/>
    <w:rsid w:val="00A31F8B"/>
    <w:pPr>
      <w:tabs>
        <w:tab w:val="right" w:pos="0"/>
        <w:tab w:val="center" w:pos="4680"/>
        <w:tab w:val="right" w:pos="9360"/>
      </w:tabs>
      <w:spacing w:before="0" w:after="0"/>
      <w:jc w:val="right"/>
    </w:pPr>
    <w:rPr>
      <w:sz w:val="16"/>
    </w:rPr>
  </w:style>
  <w:style w:type="character" w:customStyle="1" w:styleId="HeaderChar">
    <w:name w:val="Header Char"/>
    <w:basedOn w:val="DefaultParagraphFont"/>
    <w:link w:val="Header"/>
    <w:uiPriority w:val="24"/>
    <w:semiHidden/>
    <w:rsid w:val="002833D7"/>
    <w:rPr>
      <w:rFonts w:ascii="Calibri" w:hAnsi="Calibri"/>
      <w:sz w:val="16"/>
      <w:lang w:val="en-AU"/>
    </w:rPr>
  </w:style>
  <w:style w:type="paragraph" w:styleId="Footer">
    <w:name w:val="footer"/>
    <w:basedOn w:val="Normal"/>
    <w:link w:val="FooterChar"/>
    <w:uiPriority w:val="24"/>
    <w:rsid w:val="008C03C9"/>
    <w:pPr>
      <w:tabs>
        <w:tab w:val="right" w:pos="14629"/>
      </w:tabs>
      <w:spacing w:before="0" w:after="0"/>
    </w:pPr>
    <w:rPr>
      <w:sz w:val="20"/>
    </w:rPr>
  </w:style>
  <w:style w:type="character" w:customStyle="1" w:styleId="FooterChar">
    <w:name w:val="Footer Char"/>
    <w:basedOn w:val="DefaultParagraphFont"/>
    <w:link w:val="Footer"/>
    <w:uiPriority w:val="24"/>
    <w:rsid w:val="008C03C9"/>
    <w:rPr>
      <w:rFonts w:ascii="Calibri" w:hAnsi="Calibri"/>
      <w:lang w:val="en-AU"/>
    </w:rPr>
  </w:style>
  <w:style w:type="character" w:styleId="PageNumber">
    <w:name w:val="page number"/>
    <w:basedOn w:val="DefaultParagraphFont"/>
    <w:uiPriority w:val="24"/>
    <w:rsid w:val="005012B2"/>
    <w:rPr>
      <w:lang w:val="en-AU"/>
    </w:rPr>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BodyText"/>
    <w:link w:val="TitleChar"/>
    <w:uiPriority w:val="24"/>
    <w:rsid w:val="0031746B"/>
    <w:pPr>
      <w:contextualSpacing/>
    </w:pPr>
    <w:rPr>
      <w:rFonts w:eastAsiaTheme="majorEastAsia" w:cstheme="majorBidi"/>
      <w:b/>
      <w:kern w:val="28"/>
      <w:sz w:val="48"/>
      <w:szCs w:val="52"/>
    </w:rPr>
  </w:style>
  <w:style w:type="character" w:customStyle="1" w:styleId="TitleChar">
    <w:name w:val="Title Char"/>
    <w:basedOn w:val="DefaultParagraphFont"/>
    <w:link w:val="Title"/>
    <w:uiPriority w:val="24"/>
    <w:rsid w:val="0031746B"/>
    <w:rPr>
      <w:rFonts w:ascii="Calibri" w:eastAsiaTheme="majorEastAsia" w:hAnsi="Calibri" w:cstheme="majorBidi"/>
      <w:b/>
      <w:kern w:val="28"/>
      <w:sz w:val="48"/>
      <w:szCs w:val="52"/>
      <w:lang w:val="en-AU"/>
    </w:rPr>
  </w:style>
  <w:style w:type="paragraph" w:styleId="Subtitle">
    <w:name w:val="Subtitle"/>
    <w:basedOn w:val="Normal"/>
    <w:next w:val="BodyText"/>
    <w:link w:val="SubtitleChar"/>
    <w:uiPriority w:val="24"/>
    <w:rsid w:val="000E28CC"/>
    <w:pPr>
      <w:numPr>
        <w:ilvl w:val="1"/>
      </w:numPr>
    </w:pPr>
    <w:rPr>
      <w:rFonts w:eastAsiaTheme="majorEastAsia" w:cstheme="majorBidi"/>
      <w:iCs/>
      <w:sz w:val="40"/>
      <w:szCs w:val="24"/>
    </w:rPr>
  </w:style>
  <w:style w:type="character" w:customStyle="1" w:styleId="SubtitleChar">
    <w:name w:val="Subtitle Char"/>
    <w:basedOn w:val="DefaultParagraphFont"/>
    <w:link w:val="Subtitle"/>
    <w:uiPriority w:val="24"/>
    <w:rsid w:val="000E28CC"/>
    <w:rPr>
      <w:rFonts w:ascii="Calibri" w:eastAsiaTheme="majorEastAsia" w:hAnsi="Calibri" w:cstheme="majorBidi"/>
      <w:iCs/>
      <w:sz w:val="40"/>
      <w:szCs w:val="24"/>
      <w:lang w:val="en-AU"/>
    </w:rPr>
  </w:style>
  <w:style w:type="numbering" w:customStyle="1" w:styleId="ListAlphanumericmaster">
    <w:name w:val="List Alphanumeric (master)"/>
    <w:uiPriority w:val="99"/>
    <w:rsid w:val="003D2B56"/>
    <w:pPr>
      <w:numPr>
        <w:numId w:val="9"/>
      </w:numPr>
    </w:pPr>
  </w:style>
  <w:style w:type="paragraph" w:styleId="TOCHeading">
    <w:name w:val="TOC Heading"/>
    <w:basedOn w:val="Heading1"/>
    <w:next w:val="Normal"/>
    <w:uiPriority w:val="24"/>
    <w:rsid w:val="00BA3365"/>
    <w:pPr>
      <w:keepLines/>
      <w:outlineLvl w:val="9"/>
    </w:pPr>
    <w:rPr>
      <w:rFonts w:eastAsiaTheme="majorEastAsia" w:cstheme="majorBidi"/>
      <w:szCs w:val="28"/>
      <w:lang w:eastAsia="en-US"/>
    </w:rPr>
  </w:style>
  <w:style w:type="paragraph" w:styleId="TOC1">
    <w:name w:val="toc 1"/>
    <w:basedOn w:val="Normal"/>
    <w:next w:val="Normal"/>
    <w:autoRedefine/>
    <w:uiPriority w:val="39"/>
    <w:rsid w:val="004E0B39"/>
    <w:pPr>
      <w:tabs>
        <w:tab w:val="left" w:pos="284"/>
        <w:tab w:val="right" w:leader="dot" w:pos="9017"/>
      </w:tabs>
      <w:spacing w:after="100"/>
      <w:ind w:left="442" w:right="851" w:hanging="442"/>
    </w:pPr>
  </w:style>
  <w:style w:type="paragraph" w:styleId="TOC2">
    <w:name w:val="toc 2"/>
    <w:basedOn w:val="Normal"/>
    <w:next w:val="Normal"/>
    <w:autoRedefine/>
    <w:uiPriority w:val="39"/>
    <w:rsid w:val="004E0B39"/>
    <w:pPr>
      <w:tabs>
        <w:tab w:val="left" w:pos="851"/>
        <w:tab w:val="right" w:leader="dot" w:pos="9017"/>
      </w:tabs>
      <w:spacing w:after="100"/>
      <w:ind w:left="1135" w:right="851" w:hanging="851"/>
    </w:pPr>
    <w:rPr>
      <w:rFonts w:asciiTheme="minorHAnsi" w:eastAsiaTheme="minorEastAsia" w:hAnsiTheme="minorHAnsi"/>
      <w:noProof/>
      <w:szCs w:val="22"/>
      <w:lang w:eastAsia="en-AU"/>
    </w:rPr>
  </w:style>
  <w:style w:type="character" w:styleId="Hyperlink">
    <w:name w:val="Hyperlink"/>
    <w:basedOn w:val="DefaultParagraphFont"/>
    <w:uiPriority w:val="99"/>
    <w:qFormat/>
    <w:rsid w:val="00452A9D"/>
    <w:rPr>
      <w:color w:val="0000FF" w:themeColor="hyperlink"/>
      <w:u w:val="single"/>
    </w:rPr>
  </w:style>
  <w:style w:type="paragraph" w:styleId="TOC3">
    <w:name w:val="toc 3"/>
    <w:basedOn w:val="Normal"/>
    <w:next w:val="Normal"/>
    <w:autoRedefine/>
    <w:uiPriority w:val="39"/>
    <w:rsid w:val="00241C5C"/>
    <w:pPr>
      <w:tabs>
        <w:tab w:val="left" w:pos="1701"/>
        <w:tab w:val="right" w:leader="dot" w:pos="9017"/>
      </w:tabs>
      <w:spacing w:after="100"/>
      <w:ind w:left="1702" w:right="851" w:hanging="851"/>
    </w:pPr>
  </w:style>
  <w:style w:type="paragraph" w:styleId="Caption">
    <w:name w:val="caption"/>
    <w:basedOn w:val="Normal"/>
    <w:next w:val="BodyText"/>
    <w:uiPriority w:val="22"/>
    <w:semiHidden/>
    <w:rsid w:val="009F6BB7"/>
    <w:rPr>
      <w:b/>
      <w:bCs/>
      <w:sz w:val="18"/>
      <w:szCs w:val="18"/>
    </w:rPr>
  </w:style>
  <w:style w:type="paragraph" w:customStyle="1" w:styleId="Footerlandscape">
    <w:name w:val="Footer (landscape)"/>
    <w:basedOn w:val="Footer"/>
    <w:uiPriority w:val="24"/>
    <w:semiHidden/>
    <w:rsid w:val="008331A3"/>
    <w:pPr>
      <w:tabs>
        <w:tab w:val="right" w:pos="13608"/>
      </w:tabs>
    </w:pPr>
  </w:style>
  <w:style w:type="paragraph" w:customStyle="1" w:styleId="Headerlandscape">
    <w:name w:val="Header (landscape)"/>
    <w:basedOn w:val="Header"/>
    <w:uiPriority w:val="24"/>
    <w:semiHidden/>
    <w:rsid w:val="005012B2"/>
    <w:pPr>
      <w:tabs>
        <w:tab w:val="clear" w:pos="9360"/>
        <w:tab w:val="right" w:pos="13608"/>
      </w:tabs>
    </w:pPr>
  </w:style>
  <w:style w:type="paragraph" w:customStyle="1" w:styleId="ListLegal">
    <w:name w:val="List Legal"/>
    <w:basedOn w:val="ListNumber"/>
    <w:uiPriority w:val="8"/>
    <w:semiHidden/>
    <w:qFormat/>
    <w:rsid w:val="00291313"/>
    <w:pPr>
      <w:numPr>
        <w:numId w:val="20"/>
      </w:numPr>
    </w:pPr>
  </w:style>
  <w:style w:type="numbering" w:customStyle="1" w:styleId="ListLegalmaster">
    <w:name w:val="List Legal (master)"/>
    <w:uiPriority w:val="99"/>
    <w:rsid w:val="00291313"/>
    <w:pPr>
      <w:numPr>
        <w:numId w:val="13"/>
      </w:numPr>
    </w:pPr>
  </w:style>
  <w:style w:type="paragraph" w:customStyle="1" w:styleId="ListLegal2">
    <w:name w:val="List Legal 2"/>
    <w:basedOn w:val="ListNumber2"/>
    <w:uiPriority w:val="8"/>
    <w:semiHidden/>
    <w:qFormat/>
    <w:rsid w:val="00291313"/>
    <w:pPr>
      <w:numPr>
        <w:numId w:val="20"/>
      </w:numPr>
      <w:tabs>
        <w:tab w:val="left" w:pos="1077"/>
      </w:tabs>
    </w:pPr>
  </w:style>
  <w:style w:type="paragraph" w:customStyle="1" w:styleId="ListLegal3">
    <w:name w:val="List Legal 3"/>
    <w:basedOn w:val="ListLegal2"/>
    <w:uiPriority w:val="8"/>
    <w:semiHidden/>
    <w:qFormat/>
    <w:rsid w:val="00291313"/>
    <w:pPr>
      <w:numPr>
        <w:ilvl w:val="2"/>
      </w:numPr>
      <w:tabs>
        <w:tab w:val="clear" w:pos="1077"/>
        <w:tab w:val="left" w:pos="1435"/>
      </w:tabs>
    </w:pPr>
  </w:style>
  <w:style w:type="paragraph" w:customStyle="1" w:styleId="DocumentDetails">
    <w:name w:val="Document Details"/>
    <w:basedOn w:val="Normal"/>
    <w:next w:val="BodyText"/>
    <w:uiPriority w:val="24"/>
    <w:semiHidden/>
    <w:rsid w:val="005012B2"/>
    <w:pPr>
      <w:jc w:val="center"/>
    </w:pPr>
    <w:rPr>
      <w:sz w:val="24"/>
    </w:rPr>
  </w:style>
  <w:style w:type="paragraph" w:customStyle="1" w:styleId="SingleSpace">
    <w:name w:val="Single Space"/>
    <w:basedOn w:val="BodyText"/>
    <w:uiPriority w:val="21"/>
    <w:semiHidden/>
    <w:rsid w:val="0069066D"/>
    <w:pPr>
      <w:spacing w:before="0" w:after="0" w:line="240" w:lineRule="auto"/>
    </w:pPr>
    <w:rPr>
      <w:sz w:val="2"/>
    </w:rPr>
  </w:style>
  <w:style w:type="character" w:customStyle="1" w:styleId="Characteryellowhighlight">
    <w:name w:val="Character (yellow highlight)"/>
    <w:basedOn w:val="DefaultParagraphFont"/>
    <w:uiPriority w:val="2"/>
    <w:qFormat/>
    <w:rsid w:val="005012B2"/>
    <w:rPr>
      <w:bdr w:val="none" w:sz="0" w:space="0" w:color="auto"/>
      <w:shd w:val="clear" w:color="auto" w:fill="FFFF00"/>
      <w:lang w:val="en-AU"/>
    </w:rPr>
  </w:style>
  <w:style w:type="paragraph" w:styleId="TableofFigures">
    <w:name w:val="table of figures"/>
    <w:basedOn w:val="Normal"/>
    <w:next w:val="Normal"/>
    <w:uiPriority w:val="39"/>
    <w:semiHidden/>
    <w:rsid w:val="007C1A44"/>
    <w:pPr>
      <w:spacing w:after="100"/>
      <w:ind w:right="851"/>
    </w:pPr>
  </w:style>
  <w:style w:type="paragraph" w:customStyle="1" w:styleId="BodyTextindent">
    <w:name w:val="Body Text (indent)"/>
    <w:basedOn w:val="BodyText"/>
    <w:qFormat/>
    <w:rsid w:val="001C4183"/>
    <w:pPr>
      <w:ind w:left="357"/>
    </w:pPr>
  </w:style>
  <w:style w:type="paragraph" w:customStyle="1" w:styleId="BodyTextindent2">
    <w:name w:val="Body Text (indent 2)"/>
    <w:basedOn w:val="BodyText"/>
    <w:uiPriority w:val="1"/>
    <w:qFormat/>
    <w:rsid w:val="001C4183"/>
    <w:pPr>
      <w:ind w:left="714"/>
    </w:pPr>
  </w:style>
  <w:style w:type="paragraph" w:customStyle="1" w:styleId="BodyTextindent3">
    <w:name w:val="Body Text (indent 3)"/>
    <w:basedOn w:val="BodyText"/>
    <w:uiPriority w:val="1"/>
    <w:qFormat/>
    <w:rsid w:val="00CD5A48"/>
    <w:pPr>
      <w:ind w:left="1072"/>
    </w:pPr>
  </w:style>
  <w:style w:type="character" w:customStyle="1" w:styleId="Charactersourcecode">
    <w:name w:val="Character (source code)"/>
    <w:basedOn w:val="DefaultParagraphFont"/>
    <w:uiPriority w:val="3"/>
    <w:semiHidden/>
    <w:qFormat/>
    <w:rsid w:val="00CA539A"/>
    <w:rPr>
      <w:rFonts w:ascii="Courier New" w:hAnsi="Courier New"/>
    </w:rPr>
  </w:style>
  <w:style w:type="paragraph" w:customStyle="1" w:styleId="EndNoteBibliography">
    <w:name w:val="EndNote Bibliography"/>
    <w:basedOn w:val="BodyText"/>
    <w:link w:val="EndNoteBibliographyChar"/>
    <w:uiPriority w:val="23"/>
    <w:semiHidden/>
    <w:rsid w:val="00402E7E"/>
    <w:pPr>
      <w:ind w:left="720" w:hanging="720"/>
    </w:pPr>
    <w:rPr>
      <w:rFonts w:cs="Calibri"/>
      <w:noProof/>
      <w:szCs w:val="22"/>
    </w:rPr>
  </w:style>
  <w:style w:type="character" w:customStyle="1" w:styleId="EndNoteBibliographyChar">
    <w:name w:val="EndNote Bibliography Char"/>
    <w:basedOn w:val="BodyTextChar"/>
    <w:link w:val="EndNoteBibliography"/>
    <w:uiPriority w:val="23"/>
    <w:semiHidden/>
    <w:rsid w:val="00391C30"/>
    <w:rPr>
      <w:rFonts w:ascii="Calibri" w:hAnsi="Calibri" w:cs="Calibri"/>
      <w:noProof/>
      <w:sz w:val="22"/>
      <w:szCs w:val="22"/>
      <w:lang w:val="en-AU"/>
    </w:rPr>
  </w:style>
  <w:style w:type="paragraph" w:customStyle="1" w:styleId="EndNoteBibliographyTitle">
    <w:name w:val="EndNote Bibliography Title"/>
    <w:basedOn w:val="Heading1"/>
    <w:next w:val="EndNoteBibliography"/>
    <w:link w:val="EndNoteBibliographyTitleChar4"/>
    <w:uiPriority w:val="23"/>
    <w:semiHidden/>
    <w:rsid w:val="00402E7E"/>
    <w:pPr>
      <w:spacing w:before="120" w:after="120"/>
    </w:pPr>
    <w:rPr>
      <w:rFonts w:cs="Calibri"/>
      <w:i/>
      <w:noProof/>
      <w:sz w:val="20"/>
    </w:rPr>
  </w:style>
  <w:style w:type="character" w:customStyle="1" w:styleId="EndNoteBibliographyTitleChar4">
    <w:name w:val="EndNote Bibliography Title Char4"/>
    <w:basedOn w:val="BodyTextChar"/>
    <w:link w:val="EndNoteBibliographyTitle"/>
    <w:uiPriority w:val="23"/>
    <w:semiHidden/>
    <w:rsid w:val="00391C30"/>
    <w:rPr>
      <w:rFonts w:ascii="Calibri" w:eastAsia="Times New Roman" w:hAnsi="Calibri" w:cs="Calibri"/>
      <w:b/>
      <w:bCs/>
      <w:i/>
      <w:noProof/>
      <w:szCs w:val="32"/>
      <w:lang w:val="en-AU" w:eastAsia="en-AU"/>
    </w:rPr>
  </w:style>
  <w:style w:type="character" w:styleId="PlaceholderText">
    <w:name w:val="Placeholder Text"/>
    <w:basedOn w:val="DefaultParagraphFont"/>
    <w:uiPriority w:val="99"/>
    <w:semiHidden/>
    <w:rsid w:val="00DD35E1"/>
    <w:rPr>
      <w:color w:val="808080"/>
    </w:rPr>
  </w:style>
  <w:style w:type="paragraph" w:styleId="TOC4">
    <w:name w:val="toc 4"/>
    <w:basedOn w:val="TOC1"/>
    <w:next w:val="Normal"/>
    <w:autoRedefine/>
    <w:uiPriority w:val="39"/>
    <w:semiHidden/>
    <w:rsid w:val="007C1A44"/>
    <w:pPr>
      <w:tabs>
        <w:tab w:val="left" w:pos="1540"/>
      </w:tabs>
      <w:ind w:left="1418" w:hanging="1418"/>
    </w:pPr>
    <w:rPr>
      <w:noProof/>
    </w:rPr>
  </w:style>
  <w:style w:type="paragraph" w:customStyle="1" w:styleId="BodyTextindent4">
    <w:name w:val="Body Text (indent 4)"/>
    <w:basedOn w:val="BodyText"/>
    <w:uiPriority w:val="1"/>
    <w:semiHidden/>
    <w:qFormat/>
    <w:rsid w:val="00291313"/>
    <w:pPr>
      <w:ind w:left="1435"/>
    </w:pPr>
  </w:style>
  <w:style w:type="paragraph" w:styleId="FootnoteText">
    <w:name w:val="footnote text"/>
    <w:basedOn w:val="Normal"/>
    <w:link w:val="FootnoteTextChar"/>
    <w:uiPriority w:val="99"/>
    <w:semiHidden/>
    <w:rsid w:val="00E23C2C"/>
    <w:pPr>
      <w:spacing w:before="0" w:after="80"/>
      <w:ind w:left="113" w:hanging="113"/>
    </w:pPr>
    <w:rPr>
      <w:sz w:val="18"/>
    </w:rPr>
  </w:style>
  <w:style w:type="character" w:customStyle="1" w:styleId="FootnoteTextChar">
    <w:name w:val="Footnote Text Char"/>
    <w:basedOn w:val="DefaultParagraphFont"/>
    <w:link w:val="FootnoteText"/>
    <w:uiPriority w:val="99"/>
    <w:semiHidden/>
    <w:rsid w:val="00661277"/>
    <w:rPr>
      <w:rFonts w:ascii="Calibri" w:hAnsi="Calibri"/>
      <w:sz w:val="18"/>
      <w:lang w:val="en-AU"/>
    </w:rPr>
  </w:style>
  <w:style w:type="character" w:styleId="FootnoteReference">
    <w:name w:val="footnote reference"/>
    <w:basedOn w:val="DefaultParagraphFont"/>
    <w:uiPriority w:val="99"/>
    <w:semiHidden/>
    <w:rsid w:val="00600004"/>
    <w:rPr>
      <w:vertAlign w:val="superscript"/>
    </w:rPr>
  </w:style>
  <w:style w:type="table" w:customStyle="1" w:styleId="CustomTabledetailed">
    <w:name w:val="Custom Table (detailed)"/>
    <w:basedOn w:val="TableNormal"/>
    <w:uiPriority w:val="99"/>
    <w:rsid w:val="008C03C9"/>
    <w:pPr>
      <w:spacing w:after="0" w:line="240" w:lineRule="auto"/>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val="0"/>
        <w:color w:val="auto"/>
      </w:rPr>
      <w:tblPr/>
      <w:tcPr>
        <w:shd w:val="clear" w:color="auto" w:fill="000000" w:themeFill="text1"/>
      </w:tcPr>
    </w:tblStylePr>
    <w:tblStylePr w:type="lastRow">
      <w:tblPr/>
      <w:tcPr>
        <w:shd w:val="clear" w:color="auto" w:fill="D9D9D9" w:themeFill="background1" w:themeFillShade="D9"/>
      </w:tcPr>
    </w:tblStylePr>
    <w:tblStylePr w:type="firstCol">
      <w:rPr>
        <w:b w:val="0"/>
        <w:color w:val="auto"/>
      </w:rPr>
      <w:tblPr/>
      <w:tcPr>
        <w:shd w:val="clear" w:color="auto" w:fill="000000" w:themeFill="text1"/>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locked/>
    <w:rsid w:val="00926242"/>
    <w:pPr>
      <w:spacing w:after="0" w:line="240" w:lineRule="auto"/>
    </w:pPr>
    <w:rPr>
      <w:rFonts w:ascii="Arial" w:hAnsi="Arial"/>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rPr>
      <w:cantSplit/>
    </w:trPr>
    <w:tblStylePr w:type="firstRow">
      <w:rPr>
        <w:b w:val="0"/>
        <w:color w:val="auto"/>
      </w:rPr>
      <w:tblPr/>
      <w:tcPr>
        <w:shd w:val="clear" w:color="auto" w:fill="D9D9D9" w:themeFill="background1" w:themeFillShade="D9"/>
      </w:tcPr>
    </w:tblStylePr>
    <w:tblStylePr w:type="firstCol">
      <w:rPr>
        <w:b w:val="0"/>
        <w:color w:val="auto"/>
      </w:rPr>
      <w:tblPr/>
      <w:tcPr>
        <w:shd w:val="clear" w:color="auto" w:fill="D9D9D9" w:themeFill="background1" w:themeFillShade="D9"/>
      </w:tcPr>
    </w:tblStylePr>
  </w:style>
  <w:style w:type="table" w:customStyle="1" w:styleId="CustomTablestandard">
    <w:name w:val="Custom Table (standard)"/>
    <w:basedOn w:val="TableNormal"/>
    <w:uiPriority w:val="99"/>
    <w:rsid w:val="008C03C9"/>
    <w:pPr>
      <w:spacing w:after="0" w:line="240" w:lineRule="auto"/>
    </w:pPr>
    <w:rPr>
      <w:rFonts w:ascii="Arial" w:hAnsi="Arial"/>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rPr>
      <w:cantSplit/>
    </w:trPr>
    <w:tblStylePr w:type="firstRow">
      <w:rPr>
        <w:rFonts w:ascii="Arial" w:hAnsi="Arial"/>
        <w:b w:val="0"/>
        <w:color w:val="auto"/>
      </w:rPr>
      <w:tblPr/>
      <w:tcPr>
        <w:shd w:val="clear" w:color="auto" w:fill="000000" w:themeFill="text1"/>
      </w:tcPr>
    </w:tblStylePr>
  </w:style>
  <w:style w:type="table" w:customStyle="1" w:styleId="CustomTableplaceholder">
    <w:name w:val="Custom Table (placeholder)"/>
    <w:basedOn w:val="TableNormal"/>
    <w:uiPriority w:val="99"/>
    <w:rsid w:val="007C1A44"/>
    <w:pPr>
      <w:spacing w:after="0" w:line="240" w:lineRule="auto"/>
    </w:pPr>
    <w:rPr>
      <w:rFonts w:ascii="Arial" w:hAnsi="Arial"/>
    </w:rPr>
    <w:tblPr/>
  </w:style>
  <w:style w:type="paragraph" w:customStyle="1" w:styleId="ListChecklist">
    <w:name w:val="List Checklist"/>
    <w:basedOn w:val="ListBullet2"/>
    <w:uiPriority w:val="8"/>
    <w:qFormat/>
    <w:rsid w:val="00CE583A"/>
    <w:pPr>
      <w:numPr>
        <w:ilvl w:val="0"/>
        <w:numId w:val="24"/>
      </w:numPr>
      <w:ind w:left="714" w:hanging="357"/>
    </w:pPr>
    <w:rPr>
      <w:szCs w:val="20"/>
    </w:rPr>
  </w:style>
  <w:style w:type="table" w:customStyle="1" w:styleId="CustomTablebox">
    <w:name w:val="Custom Table (box)"/>
    <w:basedOn w:val="TableNormal"/>
    <w:uiPriority w:val="99"/>
    <w:rsid w:val="007320A7"/>
    <w:pPr>
      <w:spacing w:after="0" w:line="240" w:lineRule="auto"/>
    </w:pPr>
    <w:tblPr/>
    <w:tcPr>
      <w:shd w:val="clear" w:color="auto" w:fill="C2D69B"/>
    </w:tcPr>
  </w:style>
  <w:style w:type="paragraph" w:customStyle="1" w:styleId="TableBodyTextcentrealign">
    <w:name w:val="Table Body Text (centre align)"/>
    <w:basedOn w:val="Normal"/>
    <w:uiPriority w:val="17"/>
    <w:qFormat/>
    <w:rsid w:val="00520D29"/>
    <w:pPr>
      <w:jc w:val="center"/>
    </w:pPr>
  </w:style>
  <w:style w:type="character" w:styleId="UnresolvedMention">
    <w:name w:val="Unresolved Mention"/>
    <w:basedOn w:val="DefaultParagraphFont"/>
    <w:uiPriority w:val="99"/>
    <w:semiHidden/>
    <w:rsid w:val="000B2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31386">
      <w:bodyDiv w:val="1"/>
      <w:marLeft w:val="0"/>
      <w:marRight w:val="0"/>
      <w:marTop w:val="0"/>
      <w:marBottom w:val="0"/>
      <w:divBdr>
        <w:top w:val="none" w:sz="0" w:space="0" w:color="auto"/>
        <w:left w:val="none" w:sz="0" w:space="0" w:color="auto"/>
        <w:bottom w:val="none" w:sz="0" w:space="0" w:color="auto"/>
        <w:right w:val="none" w:sz="0" w:space="0" w:color="auto"/>
      </w:divBdr>
      <w:divsChild>
        <w:div w:id="1719628863">
          <w:marLeft w:val="547"/>
          <w:marRight w:val="0"/>
          <w:marTop w:val="0"/>
          <w:marBottom w:val="0"/>
          <w:divBdr>
            <w:top w:val="none" w:sz="0" w:space="0" w:color="auto"/>
            <w:left w:val="none" w:sz="0" w:space="0" w:color="auto"/>
            <w:bottom w:val="none" w:sz="0" w:space="0" w:color="auto"/>
            <w:right w:val="none" w:sz="0" w:space="0" w:color="auto"/>
          </w:divBdr>
        </w:div>
      </w:divsChild>
    </w:div>
    <w:div w:id="19671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health.vic.gov.au/media-and-resources/publications/arts-strategy" TargetMode="External"/><Relationship Id="rId13" Type="http://schemas.openxmlformats.org/officeDocument/2006/relationships/hyperlink" Target="https://www.vichealth.vic.gov.au/programs-and-projects/technology-arts-and-social-connection-program" TargetMode="External"/><Relationship Id="rId18" Type="http://schemas.openxmlformats.org/officeDocument/2006/relationships/hyperlink" Target="https://www.vichealth.vic.gov.au/search/dance-is-for-everyone-lets-get-moving" TargetMode="External"/><Relationship Id="rId26" Type="http://schemas.openxmlformats.org/officeDocument/2006/relationships/hyperlink" Target="https://www.arts.gov/publications/arts-based-programs-and-art-therapies-risk-justice-involved-and-traumatized-youth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ichealth.vic.gov.au/search/gender-equality-art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vichealth.vic.gov.au/programs-and-projects/arts-about-us" TargetMode="External"/><Relationship Id="rId17" Type="http://schemas.openxmlformats.org/officeDocument/2006/relationships/hyperlink" Target="https://www.vichealth.vic.gov.au/search/arts-centre-melbourne-presents-fun-run" TargetMode="External"/><Relationship Id="rId25" Type="http://schemas.openxmlformats.org/officeDocument/2006/relationships/hyperlink" Target="https://www.arts.gov.au/national-arts-and-health-framework" TargetMode="External"/><Relationship Id="rId33" Type="http://schemas.openxmlformats.org/officeDocument/2006/relationships/footer" Target="footer2.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vichealth.vic.gov.au/search/white-night" TargetMode="External"/><Relationship Id="rId20" Type="http://schemas.openxmlformats.org/officeDocument/2006/relationships/hyperlink" Target="https://www.vichealth.vic.gov.au/media-and-resources/publications/arts-strategy" TargetMode="External"/><Relationship Id="rId29" Type="http://schemas.openxmlformats.org/officeDocument/2006/relationships/hyperlink" Target="https://www.arts.gov/sites/default/files/arts-in-early-childhood-dec2015-re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health.vic.gov.au/programs-and-projects/localities-enhancing-arts-participation" TargetMode="External"/><Relationship Id="rId24" Type="http://schemas.openxmlformats.org/officeDocument/2006/relationships/hyperlink" Target="https://www.australiacouncil.gov.au/workspace/uploads/files/naps__victoria-highlights_14-j-596938ae915d8.pdf" TargetMode="External"/><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ichealth.vic.gov.au/programs-and-projects/vichealth-community-activation-program" TargetMode="External"/><Relationship Id="rId23" Type="http://schemas.openxmlformats.org/officeDocument/2006/relationships/hyperlink" Target="https://australiacouncil.gov.au/research/connecting-australians/" TargetMode="External"/><Relationship Id="rId28" Type="http://schemas.openxmlformats.org/officeDocument/2006/relationships/hyperlink" Target="https://www.artscouncil.org.uk/sites/default/files/download-file/Be_Creative_Be_Well.pdf" TargetMode="External"/><Relationship Id="rId36" Type="http://schemas.openxmlformats.org/officeDocument/2006/relationships/footer" Target="footer4.xml"/><Relationship Id="rId10" Type="http://schemas.openxmlformats.org/officeDocument/2006/relationships/hyperlink" Target="https://www.vichealth.vic.gov.au/search/building-health-through-arts-and-new-media" TargetMode="External"/><Relationship Id="rId19" Type="http://schemas.openxmlformats.org/officeDocument/2006/relationships/hyperlink" Target="https://www.vichealth.vic.gov.au/search/the-gallery-workou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vichealth.vic.gov.au/media-and-resources/publications/action-agenda-for-health-promotion" TargetMode="External"/><Relationship Id="rId14" Type="http://schemas.openxmlformats.org/officeDocument/2006/relationships/hyperlink" Target="https://www.vichealth.vic.gov.au/media-and-resources/publications/active-arts-strategy" TargetMode="External"/><Relationship Id="rId22" Type="http://schemas.openxmlformats.org/officeDocument/2006/relationships/hyperlink" Target="https://www.vichealth.vic.gov.au/search/future-makers-for-change" TargetMode="External"/><Relationship Id="rId27" Type="http://schemas.openxmlformats.org/officeDocument/2006/relationships/hyperlink" Target="http://www.artshealthresources.org.uk/docs/arts-health-and-community-a-study-of-five-arts-in-community-health-projects/" TargetMode="External"/><Relationship Id="rId30" Type="http://schemas.openxmlformats.org/officeDocument/2006/relationships/header" Target="header1.xml"/><Relationship Id="rId35" Type="http://schemas.openxmlformats.org/officeDocument/2006/relationships/footer" Target="footer3.xm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F884-4372-4F00-B628-98F9E012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{Enter Manager}</Manager>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{Enter document subject}</dc:subject>
  <dc:creator>Red Pony (PR)</dc:creator>
  <dc:description>Template by Red Pony_x000d_
www.redpony.com.au</dc:description>
  <cp:lastModifiedBy>Heather Smith</cp:lastModifiedBy>
  <cp:revision>6</cp:revision>
  <dcterms:created xsi:type="dcterms:W3CDTF">2019-08-26T01:44:00Z</dcterms:created>
  <dcterms:modified xsi:type="dcterms:W3CDTF">2019-09-05T03:35:00Z</dcterms:modified>
</cp:coreProperties>
</file>