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16" w:rsidRPr="00DA1AFF" w:rsidRDefault="007E243F" w:rsidP="00BB6E16">
      <w:pPr>
        <w:rPr>
          <w:rFonts w:eastAsia="Times New Roman" w:cs="Times New Roman"/>
          <w:lang w:val="en" w:eastAsia="en-AU"/>
        </w:rPr>
      </w:pPr>
      <w:r>
        <w:t>19</w:t>
      </w:r>
      <w:r w:rsidR="006E17DB">
        <w:t xml:space="preserve"> February 2015</w:t>
      </w:r>
    </w:p>
    <w:p w:rsidR="00DA1AFF" w:rsidRDefault="00DA1AFF" w:rsidP="00BB6E16">
      <w:pPr>
        <w:rPr>
          <w:rFonts w:eastAsia="Times New Roman" w:cs="Times New Roman"/>
          <w:lang w:val="en" w:eastAsia="en-AU"/>
        </w:rPr>
      </w:pPr>
    </w:p>
    <w:p w:rsidR="00BD5451" w:rsidRPr="00DA1AFF" w:rsidRDefault="00BD5451" w:rsidP="00BB6E16">
      <w:pPr>
        <w:rPr>
          <w:rFonts w:eastAsia="Times New Roman" w:cs="Times New Roman"/>
          <w:lang w:val="en" w:eastAsia="en-AU"/>
        </w:rPr>
      </w:pPr>
    </w:p>
    <w:p w:rsidR="00DA1AFF" w:rsidRPr="00DA1AFF" w:rsidRDefault="00DA1AFF" w:rsidP="00DA1AFF">
      <w:r w:rsidRPr="00DA1AFF">
        <w:t>Mr Steve McCutcheon</w:t>
      </w:r>
    </w:p>
    <w:p w:rsidR="00DA1AFF" w:rsidRPr="00DA1AFF" w:rsidRDefault="00DA1AFF" w:rsidP="00DA1AFF">
      <w:r w:rsidRPr="00DA1AFF">
        <w:t>Chief Executive Officer</w:t>
      </w:r>
    </w:p>
    <w:p w:rsidR="00DA1AFF" w:rsidRPr="00DA1AFF" w:rsidRDefault="00DA1AFF" w:rsidP="00DA1AFF">
      <w:r w:rsidRPr="00DA1AFF">
        <w:t xml:space="preserve">Food Standards Australia New Zealand </w:t>
      </w:r>
    </w:p>
    <w:p w:rsidR="00DA1AFF" w:rsidRPr="00DA1AFF" w:rsidRDefault="00DA1AFF" w:rsidP="00DA1AFF">
      <w:r w:rsidRPr="00DA1AFF">
        <w:t xml:space="preserve">PO Box 7186 </w:t>
      </w:r>
    </w:p>
    <w:p w:rsidR="00DA1AFF" w:rsidRPr="00DA1AFF" w:rsidRDefault="00DA1AFF" w:rsidP="00DA1AFF">
      <w:proofErr w:type="gramStart"/>
      <w:r w:rsidRPr="00DA1AFF">
        <w:t>CANBERRA  ACT</w:t>
      </w:r>
      <w:proofErr w:type="gramEnd"/>
      <w:r w:rsidRPr="00DA1AFF">
        <w:t xml:space="preserve">  2610 </w:t>
      </w:r>
    </w:p>
    <w:p w:rsidR="00DA1AFF" w:rsidRPr="00DA1AFF" w:rsidRDefault="00DA1AFF" w:rsidP="00DA1AFF"/>
    <w:p w:rsidR="006E17DB" w:rsidRPr="00DA1AFF" w:rsidRDefault="006E17DB" w:rsidP="00DA1AFF"/>
    <w:p w:rsidR="00DA1AFF" w:rsidRPr="00DA1AFF" w:rsidRDefault="00DA1AFF" w:rsidP="00DA1AFF">
      <w:r w:rsidRPr="00DA1AFF">
        <w:t>Dear Mr McCutcheon</w:t>
      </w:r>
    </w:p>
    <w:p w:rsidR="00DA1AFF" w:rsidRPr="00DA1AFF" w:rsidRDefault="00DA1AFF" w:rsidP="00DA1AFF"/>
    <w:p w:rsidR="00BD5451" w:rsidRPr="00B5392C" w:rsidRDefault="00BD5451" w:rsidP="00BD5451">
      <w:pPr>
        <w:rPr>
          <w:b/>
          <w:color w:val="595959" w:themeColor="text1" w:themeTint="A6"/>
          <w:sz w:val="24"/>
          <w:szCs w:val="26"/>
        </w:rPr>
      </w:pPr>
      <w:r w:rsidRPr="00B5392C">
        <w:rPr>
          <w:b/>
          <w:color w:val="595959" w:themeColor="text1" w:themeTint="A6"/>
          <w:sz w:val="24"/>
          <w:szCs w:val="26"/>
        </w:rPr>
        <w:t xml:space="preserve">Submission from the Victorian Health Promotion Foundation (VicHealth) to </w:t>
      </w:r>
      <w:r w:rsidR="00B5392C" w:rsidRPr="00B5392C">
        <w:rPr>
          <w:b/>
          <w:color w:val="595959" w:themeColor="text1" w:themeTint="A6"/>
          <w:sz w:val="24"/>
          <w:szCs w:val="26"/>
        </w:rPr>
        <w:t>Food Standards Australia New Zealand</w:t>
      </w:r>
      <w:r w:rsidR="00B5392C">
        <w:rPr>
          <w:b/>
          <w:color w:val="595959" w:themeColor="text1" w:themeTint="A6"/>
          <w:sz w:val="24"/>
          <w:szCs w:val="26"/>
        </w:rPr>
        <w:t>’s</w:t>
      </w:r>
      <w:r w:rsidR="00B5392C" w:rsidRPr="00B5392C">
        <w:rPr>
          <w:b/>
          <w:color w:val="595959" w:themeColor="text1" w:themeTint="A6"/>
          <w:sz w:val="24"/>
          <w:szCs w:val="26"/>
        </w:rPr>
        <w:t xml:space="preserve"> (</w:t>
      </w:r>
      <w:r w:rsidRPr="00B5392C">
        <w:rPr>
          <w:b/>
          <w:color w:val="595959" w:themeColor="text1" w:themeTint="A6"/>
          <w:sz w:val="24"/>
          <w:szCs w:val="26"/>
        </w:rPr>
        <w:t>FSANZ</w:t>
      </w:r>
      <w:r w:rsidR="00B5392C" w:rsidRPr="00B5392C">
        <w:rPr>
          <w:b/>
          <w:color w:val="595959" w:themeColor="text1" w:themeTint="A6"/>
          <w:sz w:val="24"/>
          <w:szCs w:val="26"/>
        </w:rPr>
        <w:t>)</w:t>
      </w:r>
      <w:r w:rsidRPr="00B5392C">
        <w:rPr>
          <w:b/>
          <w:color w:val="595959" w:themeColor="text1" w:themeTint="A6"/>
          <w:sz w:val="24"/>
          <w:szCs w:val="26"/>
        </w:rPr>
        <w:t xml:space="preserve"> consultation on labelling review recommendation 17</w:t>
      </w:r>
    </w:p>
    <w:p w:rsidR="00BD5451" w:rsidRPr="00B5392C" w:rsidRDefault="00BD5451" w:rsidP="00DA1AFF">
      <w:pPr>
        <w:rPr>
          <w:sz w:val="20"/>
        </w:rPr>
      </w:pPr>
    </w:p>
    <w:p w:rsidR="00DA1AFF" w:rsidRPr="00DA1AFF" w:rsidRDefault="00DA1AFF" w:rsidP="00DA1AFF">
      <w:r w:rsidRPr="00DA1AFF">
        <w:t>Thank you for th</w:t>
      </w:r>
      <w:r w:rsidR="00B95C59">
        <w:t>e opportunity to respond to the consultation on recommendation 17 from the independent review of labelling.</w:t>
      </w:r>
    </w:p>
    <w:p w:rsidR="00DA1AFF" w:rsidRPr="00DA1AFF" w:rsidRDefault="00DA1AFF" w:rsidP="00DA1AFF"/>
    <w:p w:rsidR="006E17DB" w:rsidRDefault="006E17DB" w:rsidP="006E17DB">
      <w:r w:rsidRPr="006E17DB">
        <w:t xml:space="preserve">Since our establishment as a statutory health promotion body by the Victorian Government in 1987, we have had a strong focus on </w:t>
      </w:r>
      <w:hyperlink r:id="rId9" w:history="1">
        <w:r w:rsidRPr="006E17DB">
          <w:rPr>
            <w:rStyle w:val="Hyperlink"/>
          </w:rPr>
          <w:t>promoting healthy e</w:t>
        </w:r>
        <w:r w:rsidRPr="006E17DB">
          <w:rPr>
            <w:rStyle w:val="Hyperlink"/>
          </w:rPr>
          <w:t>a</w:t>
        </w:r>
        <w:r w:rsidRPr="006E17DB">
          <w:rPr>
            <w:rStyle w:val="Hyperlink"/>
          </w:rPr>
          <w:t>ting</w:t>
        </w:r>
      </w:hyperlink>
      <w:r w:rsidRPr="006E17DB">
        <w:t xml:space="preserve">. Under the </w:t>
      </w:r>
      <w:hyperlink r:id="rId10" w:history="1">
        <w:r w:rsidRPr="006E17DB">
          <w:rPr>
            <w:rStyle w:val="Hyperlink"/>
          </w:rPr>
          <w:t>VicHealth Action A</w:t>
        </w:r>
        <w:r w:rsidRPr="006E17DB">
          <w:rPr>
            <w:rStyle w:val="Hyperlink"/>
          </w:rPr>
          <w:t>g</w:t>
        </w:r>
        <w:r w:rsidRPr="006E17DB">
          <w:rPr>
            <w:rStyle w:val="Hyperlink"/>
          </w:rPr>
          <w:t>enda for Health Promotion</w:t>
        </w:r>
      </w:hyperlink>
      <w:r w:rsidRPr="006E17DB">
        <w:t xml:space="preserve"> we have a 10-year goal of more Victorians adopting a healthier diet, with a three-year priority of ensuring that more people are choosing water and healthy food options.</w:t>
      </w:r>
    </w:p>
    <w:p w:rsidR="007F2483" w:rsidRDefault="007F2483" w:rsidP="006E17DB"/>
    <w:p w:rsidR="007F2483" w:rsidRDefault="007F2483" w:rsidP="006E17DB">
      <w:r>
        <w:t xml:space="preserve">We have developed a short submission to the consultation, which outlines our response to the consultation questions and further recommendations regarding </w:t>
      </w:r>
      <w:r w:rsidR="001145A2">
        <w:t xml:space="preserve">nutrition and </w:t>
      </w:r>
      <w:r>
        <w:t xml:space="preserve">food labelling, particularly around </w:t>
      </w:r>
      <w:r w:rsidR="001145A2">
        <w:t xml:space="preserve">standardised </w:t>
      </w:r>
      <w:r>
        <w:t xml:space="preserve">serving sizes and the Health Star Rating System. </w:t>
      </w:r>
    </w:p>
    <w:p w:rsidR="00C30CD8" w:rsidRDefault="00C30CD8" w:rsidP="006E17DB"/>
    <w:p w:rsidR="00C30CD8" w:rsidRPr="006E17DB" w:rsidRDefault="00A61AAC" w:rsidP="006E17DB">
      <w:r>
        <w:t xml:space="preserve">VicHealth recommends that at a minimum </w:t>
      </w:r>
      <w:r w:rsidRPr="00A61AAC">
        <w:t>the provision of per serving nutrition information continues to be mandatory on the nutrition information panel (NIP) of food products</w:t>
      </w:r>
      <w:r>
        <w:t xml:space="preserve">. However </w:t>
      </w:r>
      <w:r w:rsidR="00C30CD8">
        <w:t xml:space="preserve">VicHealth considers the current </w:t>
      </w:r>
      <w:r>
        <w:t xml:space="preserve">NIP </w:t>
      </w:r>
      <w:r w:rsidR="00C30CD8">
        <w:t>system to be an inadequate mechanism for making informed nutrition choices</w:t>
      </w:r>
      <w:r>
        <w:t>, and o</w:t>
      </w:r>
      <w:r w:rsidR="00C30CD8">
        <w:t xml:space="preserve">ur submission </w:t>
      </w:r>
      <w:r>
        <w:t>outlines our position on</w:t>
      </w:r>
      <w:r w:rsidR="00C30CD8">
        <w:t xml:space="preserve"> how </w:t>
      </w:r>
      <w:r w:rsidR="00CF546E">
        <w:t xml:space="preserve">the NIP </w:t>
      </w:r>
      <w:r w:rsidR="00C30CD8">
        <w:t>could be improved</w:t>
      </w:r>
      <w:r>
        <w:t>. Importantly, this consultation clearly highlights</w:t>
      </w:r>
      <w:r w:rsidR="00C30CD8">
        <w:t xml:space="preserve"> </w:t>
      </w:r>
      <w:r w:rsidR="00CF546E">
        <w:t xml:space="preserve">the need for </w:t>
      </w:r>
      <w:r>
        <w:t xml:space="preserve">full implementation of </w:t>
      </w:r>
      <w:r w:rsidR="00CF546E">
        <w:t>a front-of-pack interpretive food labelling system.</w:t>
      </w:r>
    </w:p>
    <w:p w:rsidR="00DA1AFF" w:rsidRPr="00DA1AFF" w:rsidRDefault="00DA1AFF" w:rsidP="00DA1AFF"/>
    <w:p w:rsidR="007F2483" w:rsidRDefault="007F2483" w:rsidP="007F2483">
      <w:r>
        <w:t xml:space="preserve">VicHealth would welcome the opportunity to further discuss food labelling and its health impacts with FSANZ. If you would like to follow up on any of the information in our submission, please contact Cassie Nicholls, Senior Policy Development Officer on </w:t>
      </w:r>
      <w:hyperlink r:id="rId11" w:history="1">
        <w:r w:rsidRPr="00FA2134">
          <w:rPr>
            <w:rStyle w:val="Hyperlink"/>
          </w:rPr>
          <w:t>policy@vichealth.vic.gov.au</w:t>
        </w:r>
      </w:hyperlink>
      <w:r>
        <w:t xml:space="preserve"> or 03 9667 1317. </w:t>
      </w:r>
    </w:p>
    <w:p w:rsidR="007F2483" w:rsidRDefault="007F2483" w:rsidP="007F2483"/>
    <w:p w:rsidR="007F2483" w:rsidRDefault="007F2483" w:rsidP="007F2483">
      <w:r>
        <w:t>Yours sincerely</w:t>
      </w:r>
    </w:p>
    <w:p w:rsidR="00B5392C" w:rsidRDefault="00530A89" w:rsidP="007F2483">
      <w:r>
        <w:object w:dxaOrig="2357" w:dyaOrig="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8.75pt" o:ole="" fillcolor="window">
            <v:imagedata r:id="rId12" o:title=""/>
          </v:shape>
          <o:OLEObject Type="Embed" ProgID="Photoshop.Image.4" ShapeID="_x0000_i1025" DrawAspect="Content" ObjectID="_1485853931" r:id="rId13">
            <o:FieldCodes>\s</o:FieldCodes>
          </o:OLEObject>
        </w:object>
      </w:r>
    </w:p>
    <w:p w:rsidR="007F2483" w:rsidRDefault="007F2483" w:rsidP="007F2483">
      <w:pPr>
        <w:rPr>
          <w:b/>
        </w:rPr>
      </w:pPr>
      <w:r>
        <w:rPr>
          <w:b/>
        </w:rPr>
        <w:t>Jerril Rechter</w:t>
      </w:r>
    </w:p>
    <w:p w:rsidR="007F2483" w:rsidRDefault="007F2483" w:rsidP="00DA1AFF">
      <w:r>
        <w:rPr>
          <w:b/>
        </w:rPr>
        <w:t>Chief Executive Officer</w:t>
      </w:r>
    </w:p>
    <w:p w:rsidR="007F2483" w:rsidRDefault="007F2483" w:rsidP="00DA1AFF">
      <w:pPr>
        <w:sectPr w:rsidR="007F2483" w:rsidSect="00530A89">
          <w:footerReference w:type="default" r:id="rId14"/>
          <w:headerReference w:type="first" r:id="rId15"/>
          <w:footerReference w:type="first" r:id="rId16"/>
          <w:endnotePr>
            <w:numFmt w:val="decimal"/>
          </w:endnotePr>
          <w:pgSz w:w="11906" w:h="16838" w:code="9"/>
          <w:pgMar w:top="2268" w:right="1274" w:bottom="2268" w:left="1474" w:header="0" w:footer="1024" w:gutter="0"/>
          <w:cols w:space="708"/>
          <w:titlePg/>
          <w:docGrid w:linePitch="360"/>
        </w:sectPr>
      </w:pPr>
    </w:p>
    <w:p w:rsidR="007F2483" w:rsidRPr="007F2483" w:rsidRDefault="007F2483" w:rsidP="000A6872">
      <w:pPr>
        <w:pBdr>
          <w:bottom w:val="single" w:sz="8" w:space="1" w:color="7F7F7F" w:themeColor="text1" w:themeTint="80"/>
        </w:pBdr>
        <w:spacing w:after="240" w:line="276" w:lineRule="auto"/>
        <w:rPr>
          <w:b/>
          <w:color w:val="595959" w:themeColor="text1" w:themeTint="A6"/>
          <w:sz w:val="28"/>
        </w:rPr>
      </w:pPr>
      <w:r w:rsidRPr="007F2483">
        <w:rPr>
          <w:b/>
          <w:color w:val="595959" w:themeColor="text1" w:themeTint="A6"/>
          <w:sz w:val="28"/>
        </w:rPr>
        <w:lastRenderedPageBreak/>
        <w:t>Introduction</w:t>
      </w:r>
    </w:p>
    <w:p w:rsidR="00AD7388" w:rsidRDefault="00B95C59" w:rsidP="000A6872">
      <w:pPr>
        <w:spacing w:after="200" w:line="276" w:lineRule="auto"/>
      </w:pPr>
      <w:r w:rsidRPr="00B95C59">
        <w:t>VicHealth is committed to halting the rise in obesity, type 2 diabetes and other diet-related illnesses through multi-level, multi-strategy approaches that enable healthy food choices, including the development and promotion of a culture that embraces healthy eating.</w:t>
      </w:r>
      <w:r>
        <w:t xml:space="preserve"> Key to this is encouraging consumption of healthy foods by enabling </w:t>
      </w:r>
      <w:r w:rsidRPr="00907CA1">
        <w:t>Victorians to make informed food choices</w:t>
      </w:r>
      <w:r w:rsidRPr="00B95C59">
        <w:t>.</w:t>
      </w:r>
      <w:r w:rsidR="00FD2D04">
        <w:t xml:space="preserve"> </w:t>
      </w:r>
    </w:p>
    <w:p w:rsidR="00907CA1" w:rsidRDefault="00907CA1" w:rsidP="000A6872">
      <w:pPr>
        <w:spacing w:after="200" w:line="276" w:lineRule="auto"/>
      </w:pPr>
      <w:r w:rsidRPr="00114393">
        <w:t xml:space="preserve">We recommend that FSANZ considers the key issues provided </w:t>
      </w:r>
      <w:r w:rsidR="00AD7388">
        <w:t>below</w:t>
      </w:r>
      <w:r w:rsidRPr="00114393">
        <w:t xml:space="preserve"> when</w:t>
      </w:r>
      <w:r>
        <w:t xml:space="preserve"> responding to recommendation 17</w:t>
      </w:r>
      <w:r w:rsidR="00C9220B">
        <w:t xml:space="preserve"> of the labelling review</w:t>
      </w:r>
      <w:r w:rsidR="001868B1">
        <w:t xml:space="preserve">, particularly the need for standardised serving sizes that correlate with current consumption patterns. </w:t>
      </w:r>
      <w:r>
        <w:t>These issues require action, coordination and leadership from FSANZ to ensure that consumers are able to make informed and healthy choices.</w:t>
      </w:r>
    </w:p>
    <w:p w:rsidR="00B95C59" w:rsidRDefault="006B5726" w:rsidP="000A6872">
      <w:pPr>
        <w:spacing w:after="200" w:line="276" w:lineRule="auto"/>
      </w:pPr>
      <w:r>
        <w:t xml:space="preserve">VicHealth believes that </w:t>
      </w:r>
      <w:r w:rsidR="00C9220B">
        <w:t xml:space="preserve">such </w:t>
      </w:r>
      <w:r>
        <w:t xml:space="preserve">changes to the nutritional information panel </w:t>
      </w:r>
      <w:r w:rsidR="00CF546E">
        <w:t>would improve</w:t>
      </w:r>
      <w:r w:rsidR="00A61AAC">
        <w:t xml:space="preserve"> th</w:t>
      </w:r>
      <w:r w:rsidR="00C9220B">
        <w:t>e</w:t>
      </w:r>
      <w:r w:rsidR="00A61AAC">
        <w:t xml:space="preserve"> current legislated system.</w:t>
      </w:r>
      <w:r w:rsidR="00CF546E">
        <w:t xml:space="preserve"> </w:t>
      </w:r>
      <w:r w:rsidR="00A61AAC">
        <w:t>H</w:t>
      </w:r>
      <w:r w:rsidR="00CF546E">
        <w:t>owever the</w:t>
      </w:r>
      <w:r w:rsidR="00A61AAC">
        <w:t xml:space="preserve">re is </w:t>
      </w:r>
      <w:r w:rsidR="00CF546E">
        <w:t xml:space="preserve">broader context </w:t>
      </w:r>
      <w:r w:rsidR="00A61AAC">
        <w:t>that cannot be ignored, regarding</w:t>
      </w:r>
      <w:r>
        <w:t xml:space="preserve"> </w:t>
      </w:r>
      <w:r w:rsidR="00A61AAC">
        <w:t xml:space="preserve">the importance of </w:t>
      </w:r>
      <w:r w:rsidR="00114393">
        <w:t>creating an environme</w:t>
      </w:r>
      <w:r w:rsidR="00FD2D04">
        <w:t>nt that enables informed choice.</w:t>
      </w:r>
      <w:r>
        <w:t xml:space="preserve"> </w:t>
      </w:r>
      <w:r w:rsidR="00E81076">
        <w:t>Therefore our response to the consultation</w:t>
      </w:r>
      <w:r w:rsidR="00A61AAC">
        <w:t xml:space="preserve"> also</w:t>
      </w:r>
      <w:r w:rsidR="00E81076">
        <w:t xml:space="preserve"> </w:t>
      </w:r>
      <w:r w:rsidR="001868B1">
        <w:t xml:space="preserve">highlights </w:t>
      </w:r>
      <w:r w:rsidR="00B95C59">
        <w:t xml:space="preserve">the urgent need for </w:t>
      </w:r>
      <w:r w:rsidR="00FD2D04">
        <w:t>full</w:t>
      </w:r>
      <w:r>
        <w:t xml:space="preserve"> implementation of </w:t>
      </w:r>
      <w:r w:rsidR="00FD2D04">
        <w:t xml:space="preserve">interpretive front-of-pack food labelling through </w:t>
      </w:r>
      <w:r>
        <w:t>the Health Star Rating</w:t>
      </w:r>
      <w:r w:rsidR="00E81076">
        <w:t xml:space="preserve"> System (HSRS)</w:t>
      </w:r>
      <w:r w:rsidR="001868B1">
        <w:t>.</w:t>
      </w:r>
    </w:p>
    <w:p w:rsidR="00E81076" w:rsidRDefault="007F2483" w:rsidP="000A6872">
      <w:pPr>
        <w:pBdr>
          <w:bottom w:val="single" w:sz="8" w:space="1" w:color="7F7F7F" w:themeColor="text1" w:themeTint="80"/>
        </w:pBdr>
        <w:spacing w:before="360" w:after="240" w:line="276" w:lineRule="auto"/>
        <w:rPr>
          <w:b/>
          <w:color w:val="595959" w:themeColor="text1" w:themeTint="A6"/>
          <w:sz w:val="28"/>
        </w:rPr>
      </w:pPr>
      <w:r w:rsidRPr="007F2483">
        <w:rPr>
          <w:b/>
          <w:color w:val="595959" w:themeColor="text1" w:themeTint="A6"/>
          <w:sz w:val="28"/>
        </w:rPr>
        <w:t>Response to recommendation 17</w:t>
      </w:r>
    </w:p>
    <w:p w:rsidR="007F2483" w:rsidRPr="007F2483" w:rsidRDefault="007F2483" w:rsidP="000A6872">
      <w:pPr>
        <w:spacing w:after="200" w:line="276" w:lineRule="auto"/>
      </w:pPr>
      <w:r w:rsidRPr="0028579B">
        <w:rPr>
          <w:b/>
        </w:rPr>
        <w:t xml:space="preserve">We recommend that </w:t>
      </w:r>
      <w:r w:rsidR="00B5392C">
        <w:rPr>
          <w:b/>
        </w:rPr>
        <w:t>the provision of</w:t>
      </w:r>
      <w:r w:rsidRPr="0028579B">
        <w:rPr>
          <w:b/>
        </w:rPr>
        <w:t xml:space="preserve"> per serving </w:t>
      </w:r>
      <w:r w:rsidR="00B5392C" w:rsidRPr="0028579B">
        <w:rPr>
          <w:b/>
        </w:rPr>
        <w:t xml:space="preserve">nutrition information </w:t>
      </w:r>
      <w:r w:rsidRPr="0028579B">
        <w:rPr>
          <w:b/>
        </w:rPr>
        <w:t xml:space="preserve">continues to be mandatory on the nutrition information panel </w:t>
      </w:r>
      <w:r w:rsidR="00B5392C" w:rsidRPr="0028579B">
        <w:rPr>
          <w:b/>
        </w:rPr>
        <w:t>(NIP)</w:t>
      </w:r>
      <w:r w:rsidR="00B5392C">
        <w:rPr>
          <w:b/>
        </w:rPr>
        <w:t xml:space="preserve"> </w:t>
      </w:r>
      <w:r w:rsidRPr="0028579B">
        <w:rPr>
          <w:b/>
        </w:rPr>
        <w:t>of food products</w:t>
      </w:r>
      <w:r w:rsidR="00AD7388">
        <w:t>. While</w:t>
      </w:r>
      <w:r w:rsidRPr="007F2483">
        <w:t xml:space="preserve"> the consultation paper </w:t>
      </w:r>
      <w:r w:rsidR="00AD7388">
        <w:t xml:space="preserve">notes </w:t>
      </w:r>
      <w:r w:rsidRPr="007F2483">
        <w:t xml:space="preserve">that a change to a voluntary system would reduce industry burden, it substantially increases consumer burden. This is inconsistent with enabling consumers to make informed choices, an objective of FSANZ as outlined in Section 10(1) of the </w:t>
      </w:r>
      <w:r w:rsidRPr="00AD7388">
        <w:rPr>
          <w:i/>
        </w:rPr>
        <w:t>FSANZ Act</w:t>
      </w:r>
      <w:r w:rsidR="00AD7388">
        <w:rPr>
          <w:i/>
        </w:rPr>
        <w:t xml:space="preserve"> </w:t>
      </w:r>
      <w:r w:rsidRPr="00AD7388">
        <w:rPr>
          <w:i/>
        </w:rPr>
        <w:t>2001</w:t>
      </w:r>
      <w:r w:rsidRPr="007F2483">
        <w:t>.</w:t>
      </w:r>
    </w:p>
    <w:tbl>
      <w:tblPr>
        <w:tblStyle w:val="TableGrid"/>
        <w:tblW w:w="0" w:type="auto"/>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9639"/>
      </w:tblGrid>
      <w:tr w:rsidR="0028579B" w:rsidRPr="0028579B" w:rsidTr="0028579B">
        <w:tc>
          <w:tcPr>
            <w:tcW w:w="9639" w:type="dxa"/>
            <w:shd w:val="clear" w:color="auto" w:fill="808080" w:themeFill="background1" w:themeFillShade="80"/>
          </w:tcPr>
          <w:p w:rsidR="0028579B" w:rsidRPr="0028579B" w:rsidRDefault="0028579B" w:rsidP="00302C94">
            <w:pPr>
              <w:pStyle w:val="ListParagraph"/>
              <w:numPr>
                <w:ilvl w:val="0"/>
                <w:numId w:val="11"/>
              </w:numPr>
              <w:tabs>
                <w:tab w:val="left" w:pos="318"/>
              </w:tabs>
              <w:spacing w:before="120" w:after="120" w:line="276" w:lineRule="auto"/>
              <w:ind w:left="284" w:hanging="284"/>
              <w:rPr>
                <w:b/>
                <w:color w:val="FFFFFF" w:themeColor="background1"/>
              </w:rPr>
            </w:pPr>
            <w:r w:rsidRPr="0028579B">
              <w:rPr>
                <w:b/>
                <w:color w:val="FFFFFF" w:themeColor="background1"/>
              </w:rPr>
              <w:t>How do you or your organisation use per serving information in the nutrition information panel on food labels?</w:t>
            </w:r>
          </w:p>
        </w:tc>
      </w:tr>
      <w:tr w:rsidR="0028579B" w:rsidRPr="0028579B" w:rsidTr="0028579B">
        <w:tc>
          <w:tcPr>
            <w:tcW w:w="9639" w:type="dxa"/>
          </w:tcPr>
          <w:p w:rsidR="00AD7388" w:rsidRDefault="00530A89" w:rsidP="000A6872">
            <w:pPr>
              <w:spacing w:before="120" w:after="120" w:line="276" w:lineRule="auto"/>
            </w:pPr>
            <w:proofErr w:type="gramStart"/>
            <w:r>
              <w:t>T</w:t>
            </w:r>
            <w:r w:rsidR="0028579B" w:rsidRPr="0028579B">
              <w:t>he per</w:t>
            </w:r>
            <w:proofErr w:type="gramEnd"/>
            <w:r w:rsidR="0028579B" w:rsidRPr="0028579B">
              <w:t xml:space="preserve"> serving information is important for people </w:t>
            </w:r>
            <w:r w:rsidR="00AD7388">
              <w:t>that</w:t>
            </w:r>
            <w:r w:rsidR="0028579B" w:rsidRPr="0028579B">
              <w:t xml:space="preserve"> need accurate </w:t>
            </w:r>
            <w:r w:rsidR="00AD7388">
              <w:t>information on</w:t>
            </w:r>
            <w:r w:rsidR="0028579B" w:rsidRPr="0028579B">
              <w:t xml:space="preserve"> their </w:t>
            </w:r>
            <w:r w:rsidR="00AD7388">
              <w:t xml:space="preserve">nutrient </w:t>
            </w:r>
            <w:r w:rsidR="0028579B" w:rsidRPr="0028579B">
              <w:t xml:space="preserve">intakes because of specific health problems, or for their own dietary management. </w:t>
            </w:r>
            <w:r w:rsidR="001145A2">
              <w:t xml:space="preserve">In contrast, </w:t>
            </w:r>
            <w:proofErr w:type="gramStart"/>
            <w:r w:rsidR="001145A2">
              <w:t>t</w:t>
            </w:r>
            <w:r w:rsidR="0028579B" w:rsidRPr="0028579B">
              <w:t>he per</w:t>
            </w:r>
            <w:proofErr w:type="gramEnd"/>
            <w:r w:rsidR="0028579B" w:rsidRPr="0028579B">
              <w:t xml:space="preserve"> 100g/mL information is best used for compari</w:t>
            </w:r>
            <w:r w:rsidR="00C9220B">
              <w:t>sons</w:t>
            </w:r>
            <w:r w:rsidR="0028579B" w:rsidRPr="0028579B">
              <w:t xml:space="preserve"> between products. </w:t>
            </w:r>
          </w:p>
          <w:p w:rsidR="0028579B" w:rsidRPr="0028579B" w:rsidRDefault="00AD7388" w:rsidP="00C9220B">
            <w:pPr>
              <w:spacing w:before="120" w:after="120" w:line="276" w:lineRule="auto"/>
              <w:rPr>
                <w:b/>
              </w:rPr>
            </w:pPr>
            <w:r>
              <w:t>In terms of VicHealth’s use of per</w:t>
            </w:r>
            <w:r w:rsidR="000E2E5F">
              <w:t xml:space="preserve"> serving information,</w:t>
            </w:r>
            <w:r w:rsidR="0028579B" w:rsidRPr="0028579B">
              <w:t xml:space="preserve"> </w:t>
            </w:r>
            <w:r w:rsidR="00E60113">
              <w:t>our</w:t>
            </w:r>
            <w:r w:rsidR="0028579B" w:rsidRPr="0028579B">
              <w:t xml:space="preserve"> </w:t>
            </w:r>
            <w:r w:rsidR="000E2E5F">
              <w:t>strategies</w:t>
            </w:r>
            <w:r w:rsidR="0028579B" w:rsidRPr="0028579B">
              <w:t xml:space="preserve"> to support improved population health </w:t>
            </w:r>
            <w:r w:rsidR="000E2E5F">
              <w:t>include</w:t>
            </w:r>
            <w:r w:rsidR="0028579B" w:rsidRPr="0028579B">
              <w:t xml:space="preserve"> the delivery of public awareness campaigns, such as the </w:t>
            </w:r>
            <w:hyperlink r:id="rId17" w:history="1">
              <w:r w:rsidR="0028579B" w:rsidRPr="0028579B">
                <w:rPr>
                  <w:rStyle w:val="Hyperlink"/>
                </w:rPr>
                <w:t>H30Challeng</w:t>
              </w:r>
              <w:r w:rsidR="0028579B" w:rsidRPr="0028579B">
                <w:rPr>
                  <w:rStyle w:val="Hyperlink"/>
                </w:rPr>
                <w:t>e</w:t>
              </w:r>
            </w:hyperlink>
            <w:r w:rsidR="0028579B" w:rsidRPr="0028579B">
              <w:t xml:space="preserve">. In this campaign, we are encouraging Victorians to choose water instead of sugar-sweetened beverages. Our campaign provides information </w:t>
            </w:r>
            <w:r>
              <w:t>taken from the NIP regarding</w:t>
            </w:r>
            <w:r w:rsidR="0028579B" w:rsidRPr="0028579B">
              <w:t xml:space="preserve"> both sugar content per 100mL (for comparison of products) and per serving. </w:t>
            </w:r>
          </w:p>
        </w:tc>
      </w:tr>
      <w:tr w:rsidR="0028579B" w:rsidRPr="000A6872" w:rsidTr="00AD7388">
        <w:trPr>
          <w:trHeight w:val="60"/>
        </w:trPr>
        <w:tc>
          <w:tcPr>
            <w:tcW w:w="9639" w:type="dxa"/>
            <w:shd w:val="clear" w:color="auto" w:fill="808080" w:themeFill="background1" w:themeFillShade="80"/>
          </w:tcPr>
          <w:p w:rsidR="0028579B" w:rsidRPr="0028579B" w:rsidRDefault="0028579B" w:rsidP="00302C94">
            <w:pPr>
              <w:pStyle w:val="ListParagraph"/>
              <w:numPr>
                <w:ilvl w:val="0"/>
                <w:numId w:val="11"/>
              </w:numPr>
              <w:tabs>
                <w:tab w:val="left" w:pos="318"/>
              </w:tabs>
              <w:spacing w:before="120" w:after="120" w:line="276" w:lineRule="auto"/>
              <w:ind w:left="284" w:hanging="284"/>
              <w:rPr>
                <w:b/>
                <w:color w:val="FFFFFF" w:themeColor="background1"/>
              </w:rPr>
            </w:pPr>
            <w:r w:rsidRPr="0028579B">
              <w:rPr>
                <w:b/>
                <w:color w:val="FFFFFF" w:themeColor="background1"/>
              </w:rPr>
              <w:t xml:space="preserve">Are there any particular food categories or types of food packages (e.g. single serve packages) for which per serving information is particularly useful? </w:t>
            </w:r>
          </w:p>
        </w:tc>
      </w:tr>
      <w:tr w:rsidR="0028579B" w:rsidRPr="0028579B" w:rsidTr="00A61AAC">
        <w:trPr>
          <w:trHeight w:val="60"/>
        </w:trPr>
        <w:tc>
          <w:tcPr>
            <w:tcW w:w="9639" w:type="dxa"/>
          </w:tcPr>
          <w:p w:rsidR="000A6872" w:rsidRDefault="000A6872" w:rsidP="000A6872">
            <w:pPr>
              <w:spacing w:before="120" w:after="120" w:line="276" w:lineRule="auto"/>
            </w:pPr>
            <w:r>
              <w:t xml:space="preserve">VicHealth strongly recommends mandatory inclusion of per serving information for all food categories and types of food packages to allow consumers to make informed food choices. There are some food categories that this information is particularly useful for, such as beverages and confectionary as they have an established serving size. </w:t>
            </w:r>
          </w:p>
          <w:p w:rsidR="0028579B" w:rsidRPr="0028579B" w:rsidRDefault="000A6872" w:rsidP="00C9220B">
            <w:pPr>
              <w:spacing w:before="120" w:after="120" w:line="276" w:lineRule="auto"/>
              <w:rPr>
                <w:b/>
              </w:rPr>
            </w:pPr>
            <w:r>
              <w:t xml:space="preserve">For example, nutrition information by serving for beverages, particularly sugar-sweetened beverages, </w:t>
            </w:r>
            <w:r w:rsidR="00C9220B">
              <w:lastRenderedPageBreak/>
              <w:t xml:space="preserve">ensures </w:t>
            </w:r>
            <w:r>
              <w:t xml:space="preserve">consumers </w:t>
            </w:r>
            <w:r w:rsidR="00C9220B">
              <w:t xml:space="preserve">can </w:t>
            </w:r>
            <w:r>
              <w:t>understand the quantity of sugar being consumed in a single drink. If the labelling was provided only by 100mL it would require consumers to make an extra calculation to determine how much is in the actual quantity consumed.</w:t>
            </w:r>
          </w:p>
        </w:tc>
      </w:tr>
      <w:tr w:rsidR="0028579B" w:rsidRPr="000A6872" w:rsidTr="0028579B">
        <w:tc>
          <w:tcPr>
            <w:tcW w:w="9639" w:type="dxa"/>
            <w:shd w:val="clear" w:color="auto" w:fill="808080" w:themeFill="background1" w:themeFillShade="80"/>
          </w:tcPr>
          <w:p w:rsidR="0028579B" w:rsidRPr="0028579B" w:rsidRDefault="0028579B" w:rsidP="00302C94">
            <w:pPr>
              <w:pStyle w:val="ListParagraph"/>
              <w:numPr>
                <w:ilvl w:val="0"/>
                <w:numId w:val="11"/>
              </w:numPr>
              <w:tabs>
                <w:tab w:val="left" w:pos="318"/>
              </w:tabs>
              <w:spacing w:before="120" w:after="120" w:line="276" w:lineRule="auto"/>
              <w:ind w:left="284" w:hanging="284"/>
              <w:rPr>
                <w:b/>
                <w:color w:val="FFFFFF" w:themeColor="background1"/>
              </w:rPr>
            </w:pPr>
            <w:r w:rsidRPr="0028579B">
              <w:rPr>
                <w:b/>
                <w:color w:val="FFFFFF" w:themeColor="background1"/>
              </w:rPr>
              <w:lastRenderedPageBreak/>
              <w:t>The Labelling Review recommendation suggests that per serving informat</w:t>
            </w:r>
            <w:r w:rsidRPr="00AD7388">
              <w:rPr>
                <w:b/>
                <w:color w:val="FFFFFF" w:themeColor="background1"/>
              </w:rPr>
              <w:t xml:space="preserve">ion be voluntary unless a daily intake claim is made. Do you support this approach? </w:t>
            </w:r>
          </w:p>
        </w:tc>
      </w:tr>
      <w:tr w:rsidR="0028579B" w:rsidRPr="0028579B" w:rsidTr="0028579B">
        <w:tc>
          <w:tcPr>
            <w:tcW w:w="9639" w:type="dxa"/>
          </w:tcPr>
          <w:p w:rsidR="0028579B" w:rsidRPr="0028579B" w:rsidRDefault="0028579B" w:rsidP="00C9220B">
            <w:pPr>
              <w:spacing w:before="120" w:after="120" w:line="276" w:lineRule="auto"/>
            </w:pPr>
            <w:r w:rsidRPr="0028579B">
              <w:t xml:space="preserve">VicHealth does not support this approach. As stated </w:t>
            </w:r>
            <w:r w:rsidR="00AD7388">
              <w:t>previously</w:t>
            </w:r>
            <w:r w:rsidRPr="0028579B">
              <w:t xml:space="preserve">, we </w:t>
            </w:r>
            <w:r w:rsidR="009E04D1">
              <w:t xml:space="preserve">strongly </w:t>
            </w:r>
            <w:r w:rsidRPr="0028579B">
              <w:t>recommend mandatory inclusion of per serving information to allow consumers to make informed food choices, without the burden of calculating the nutrition information from per 100</w:t>
            </w:r>
            <w:r w:rsidR="00C9220B">
              <w:t>mL/g</w:t>
            </w:r>
            <w:r w:rsidRPr="0028579B">
              <w:t xml:space="preserve"> figures. </w:t>
            </w:r>
          </w:p>
        </w:tc>
      </w:tr>
      <w:tr w:rsidR="0028579B" w:rsidRPr="000A6872" w:rsidTr="0028579B">
        <w:tc>
          <w:tcPr>
            <w:tcW w:w="9639" w:type="dxa"/>
            <w:shd w:val="clear" w:color="auto" w:fill="808080" w:themeFill="background1" w:themeFillShade="80"/>
          </w:tcPr>
          <w:p w:rsidR="0028579B" w:rsidRPr="0028579B" w:rsidRDefault="0028579B" w:rsidP="00302C94">
            <w:pPr>
              <w:pStyle w:val="ListParagraph"/>
              <w:numPr>
                <w:ilvl w:val="0"/>
                <w:numId w:val="11"/>
              </w:numPr>
              <w:tabs>
                <w:tab w:val="left" w:pos="318"/>
              </w:tabs>
              <w:spacing w:before="120" w:after="120" w:line="276" w:lineRule="auto"/>
              <w:ind w:left="284" w:hanging="284"/>
              <w:rPr>
                <w:b/>
                <w:color w:val="FFFFFF" w:themeColor="background1"/>
              </w:rPr>
            </w:pPr>
            <w:r w:rsidRPr="0028579B">
              <w:rPr>
                <w:b/>
                <w:color w:val="FFFFFF" w:themeColor="background1"/>
              </w:rPr>
              <w:t xml:space="preserve">From your perspective, what are the advantages and disadvantages of per serving in the nutrition information panel being voluntary? </w:t>
            </w:r>
          </w:p>
        </w:tc>
      </w:tr>
      <w:tr w:rsidR="0028579B" w:rsidRPr="0028579B" w:rsidTr="00095F51">
        <w:trPr>
          <w:trHeight w:val="5109"/>
        </w:trPr>
        <w:tc>
          <w:tcPr>
            <w:tcW w:w="9639" w:type="dxa"/>
          </w:tcPr>
          <w:p w:rsidR="0028579B" w:rsidRPr="0028579B" w:rsidRDefault="001145A2" w:rsidP="000A6872">
            <w:pPr>
              <w:spacing w:before="120" w:after="120" w:line="276" w:lineRule="auto"/>
            </w:pPr>
            <w:r>
              <w:t xml:space="preserve">From </w:t>
            </w:r>
            <w:r w:rsidR="000A59C2">
              <w:t>VicHealth’s</w:t>
            </w:r>
            <w:r>
              <w:t xml:space="preserve"> perspective, t</w:t>
            </w:r>
            <w:r w:rsidR="00095F51">
              <w:t>he only advantage of t</w:t>
            </w:r>
            <w:r>
              <w:t>he</w:t>
            </w:r>
            <w:r w:rsidR="000A59C2">
              <w:t xml:space="preserve"> </w:t>
            </w:r>
            <w:r w:rsidR="00095F51">
              <w:t>change would be to r</w:t>
            </w:r>
            <w:r w:rsidR="0028579B" w:rsidRPr="0028579B">
              <w:t>educe</w:t>
            </w:r>
            <w:r w:rsidR="00095F51">
              <w:t xml:space="preserve"> the</w:t>
            </w:r>
            <w:r w:rsidR="0028579B" w:rsidRPr="0028579B">
              <w:t xml:space="preserve"> regulatory burden on industry.</w:t>
            </w:r>
            <w:r w:rsidR="00095F51">
              <w:t xml:space="preserve"> However there are significant disadvantages, including the following:</w:t>
            </w:r>
          </w:p>
          <w:p w:rsidR="0028579B" w:rsidRPr="0028579B" w:rsidRDefault="00095F51" w:rsidP="000A6872">
            <w:pPr>
              <w:numPr>
                <w:ilvl w:val="0"/>
                <w:numId w:val="3"/>
              </w:numPr>
              <w:spacing w:before="120" w:line="276" w:lineRule="auto"/>
              <w:ind w:left="284" w:hanging="284"/>
            </w:pPr>
            <w:r>
              <w:t>It would increase the</w:t>
            </w:r>
            <w:r w:rsidR="0028579B" w:rsidRPr="0028579B">
              <w:t xml:space="preserve"> burden on consumers when interpreting i</w:t>
            </w:r>
            <w:r>
              <w:t>nformation displayed on the NIP.</w:t>
            </w:r>
          </w:p>
          <w:p w:rsidR="0028579B" w:rsidRPr="0028579B" w:rsidRDefault="0028579B" w:rsidP="000A6872">
            <w:pPr>
              <w:numPr>
                <w:ilvl w:val="1"/>
                <w:numId w:val="13"/>
              </w:numPr>
              <w:spacing w:before="60" w:line="276" w:lineRule="auto"/>
              <w:ind w:left="568" w:hanging="284"/>
            </w:pPr>
            <w:r w:rsidRPr="0028579B">
              <w:t>The inconsistency across products with some carrying only information per 100</w:t>
            </w:r>
            <w:r w:rsidR="00095F51">
              <w:t>mL/</w:t>
            </w:r>
            <w:r w:rsidRPr="0028579B">
              <w:t>g and others including per serving information may increase confusion for consumers.</w:t>
            </w:r>
          </w:p>
          <w:p w:rsidR="0028579B" w:rsidRPr="0028579B" w:rsidRDefault="000E2E5F" w:rsidP="000A6872">
            <w:pPr>
              <w:numPr>
                <w:ilvl w:val="1"/>
                <w:numId w:val="13"/>
              </w:numPr>
              <w:spacing w:before="60" w:line="276" w:lineRule="auto"/>
              <w:ind w:left="568" w:hanging="284"/>
            </w:pPr>
            <w:r>
              <w:t>It r</w:t>
            </w:r>
            <w:r w:rsidR="0028579B" w:rsidRPr="0028579B">
              <w:t>emoves the functionality of the per</w:t>
            </w:r>
            <w:r>
              <w:t xml:space="preserve"> </w:t>
            </w:r>
            <w:r w:rsidR="0028579B" w:rsidRPr="0028579B">
              <w:t>serve column for peopl</w:t>
            </w:r>
            <w:r w:rsidR="00095F51">
              <w:t>e with specific health problems.</w:t>
            </w:r>
            <w:r w:rsidR="0028579B" w:rsidRPr="0028579B">
              <w:t xml:space="preserve"> </w:t>
            </w:r>
            <w:r w:rsidR="00095F51">
              <w:t>A</w:t>
            </w:r>
            <w:r w:rsidR="0028579B" w:rsidRPr="0028579B">
              <w:t xml:space="preserve">s </w:t>
            </w:r>
            <w:r w:rsidR="00095F51">
              <w:t>noted</w:t>
            </w:r>
            <w:r w:rsidR="0028579B" w:rsidRPr="0028579B">
              <w:t xml:space="preserve"> in</w:t>
            </w:r>
            <w:r w:rsidR="00095F51">
              <w:t xml:space="preserve"> the consultation paper, the u</w:t>
            </w:r>
            <w:r w:rsidR="0028579B" w:rsidRPr="0028579B">
              <w:t xml:space="preserve">se of this column is presently unknown, </w:t>
            </w:r>
            <w:r w:rsidR="00095F51">
              <w:t>so</w:t>
            </w:r>
            <w:r w:rsidR="0028579B" w:rsidRPr="0028579B">
              <w:t xml:space="preserve"> further research into how consumers interpret this information is essential before making a final decision. Implications could be that sufferers of </w:t>
            </w:r>
            <w:r w:rsidR="00095F51">
              <w:t xml:space="preserve">conditions such as </w:t>
            </w:r>
            <w:r w:rsidR="0028579B" w:rsidRPr="0028579B">
              <w:t>diabetes</w:t>
            </w:r>
            <w:r w:rsidR="00095F51">
              <w:t xml:space="preserve"> or hypertension </w:t>
            </w:r>
            <w:r w:rsidR="0028579B" w:rsidRPr="0028579B">
              <w:t>may not be able to accurately monitor their intake of key nutrients, potentially impacting their health.</w:t>
            </w:r>
          </w:p>
          <w:p w:rsidR="0028579B" w:rsidRPr="0028579B" w:rsidRDefault="0028579B" w:rsidP="000A6872">
            <w:pPr>
              <w:numPr>
                <w:ilvl w:val="1"/>
                <w:numId w:val="13"/>
              </w:numPr>
              <w:spacing w:before="60" w:after="120" w:line="276" w:lineRule="auto"/>
              <w:ind w:left="568" w:hanging="284"/>
            </w:pPr>
            <w:r w:rsidRPr="0028579B">
              <w:t xml:space="preserve">Products not displaying NIP information by serving will </w:t>
            </w:r>
            <w:r w:rsidR="00526240">
              <w:t>result in</w:t>
            </w:r>
            <w:r w:rsidRPr="0028579B">
              <w:t xml:space="preserve"> consumers</w:t>
            </w:r>
            <w:r w:rsidR="00526240">
              <w:t xml:space="preserve"> needing</w:t>
            </w:r>
            <w:r w:rsidRPr="0028579B">
              <w:t xml:space="preserve"> to calculate their consumption information from per 100</w:t>
            </w:r>
            <w:r w:rsidR="00C9220B">
              <w:t>mL/</w:t>
            </w:r>
            <w:r w:rsidRPr="0028579B">
              <w:t xml:space="preserve">g information. This level of mathematic and interpretation skills cannot be assumed and </w:t>
            </w:r>
            <w:r w:rsidR="00526240">
              <w:t xml:space="preserve">could particularly </w:t>
            </w:r>
            <w:r w:rsidRPr="0028579B">
              <w:t xml:space="preserve">disadvantage those with low </w:t>
            </w:r>
            <w:r w:rsidR="00526240">
              <w:t>numeracy skills</w:t>
            </w:r>
            <w:r w:rsidRPr="0028579B">
              <w:t xml:space="preserve">. </w:t>
            </w:r>
          </w:p>
          <w:p w:rsidR="0028579B" w:rsidRPr="0028579B" w:rsidRDefault="0028579B" w:rsidP="000A6872">
            <w:pPr>
              <w:numPr>
                <w:ilvl w:val="0"/>
                <w:numId w:val="3"/>
              </w:numPr>
              <w:spacing w:before="120" w:after="120" w:line="276" w:lineRule="auto"/>
              <w:ind w:left="284" w:hanging="284"/>
              <w:rPr>
                <w:i/>
              </w:rPr>
            </w:pPr>
            <w:r w:rsidRPr="0028579B">
              <w:t>Changing per</w:t>
            </w:r>
            <w:r w:rsidR="00526240">
              <w:t xml:space="preserve"> </w:t>
            </w:r>
            <w:r w:rsidRPr="0028579B">
              <w:t>serve requirements to voluntary could potentially impact future regulatory changes</w:t>
            </w:r>
            <w:r w:rsidR="00526240">
              <w:t>,</w:t>
            </w:r>
            <w:r w:rsidR="00526240" w:rsidRPr="0028579B">
              <w:t xml:space="preserve"> such as</w:t>
            </w:r>
            <w:r w:rsidR="00526240">
              <w:t xml:space="preserve"> </w:t>
            </w:r>
            <w:r w:rsidR="001145A2">
              <w:t xml:space="preserve">any future regulation of the </w:t>
            </w:r>
            <w:r w:rsidR="00526240" w:rsidRPr="0028579B">
              <w:t>HSRS</w:t>
            </w:r>
            <w:r w:rsidR="00526240">
              <w:t>, which could</w:t>
            </w:r>
            <w:r w:rsidR="001145A2">
              <w:t xml:space="preserve"> actually increase industry burden and/or</w:t>
            </w:r>
            <w:r w:rsidR="00526240">
              <w:t xml:space="preserve"> create inconsistencies</w:t>
            </w:r>
            <w:r w:rsidR="001145A2">
              <w:t xml:space="preserve"> between labelling systems</w:t>
            </w:r>
            <w:r w:rsidR="00526240">
              <w:t>.</w:t>
            </w:r>
          </w:p>
        </w:tc>
      </w:tr>
    </w:tbl>
    <w:p w:rsidR="007F2483" w:rsidRPr="007F2483" w:rsidRDefault="007F2483" w:rsidP="000A6872">
      <w:pPr>
        <w:pBdr>
          <w:bottom w:val="single" w:sz="8" w:space="1" w:color="7F7F7F" w:themeColor="text1" w:themeTint="80"/>
        </w:pBdr>
        <w:spacing w:before="480" w:after="200" w:line="276" w:lineRule="auto"/>
        <w:rPr>
          <w:b/>
          <w:color w:val="595959" w:themeColor="text1" w:themeTint="A6"/>
          <w:sz w:val="28"/>
        </w:rPr>
      </w:pPr>
      <w:r w:rsidRPr="007F2483">
        <w:rPr>
          <w:b/>
          <w:color w:val="595959" w:themeColor="text1" w:themeTint="A6"/>
          <w:sz w:val="28"/>
        </w:rPr>
        <w:t>Further recommendations on this topic</w:t>
      </w:r>
    </w:p>
    <w:p w:rsidR="007F2483" w:rsidRPr="00BD5451" w:rsidRDefault="007F2483" w:rsidP="00C9220B">
      <w:pPr>
        <w:spacing w:before="360" w:after="200" w:line="276" w:lineRule="auto"/>
        <w:rPr>
          <w:b/>
          <w:sz w:val="24"/>
        </w:rPr>
      </w:pPr>
      <w:r w:rsidRPr="00BD5451">
        <w:rPr>
          <w:b/>
          <w:sz w:val="24"/>
        </w:rPr>
        <w:t>Per serve sizes must be standardised to correlate with actual consumption sizes</w:t>
      </w:r>
    </w:p>
    <w:p w:rsidR="007F2483" w:rsidRPr="007F2483" w:rsidRDefault="007F2483" w:rsidP="000A6872">
      <w:pPr>
        <w:spacing w:after="200" w:line="276" w:lineRule="auto"/>
      </w:pPr>
      <w:r w:rsidRPr="007F2483">
        <w:t xml:space="preserve">The consultation paper has highlighted consumer confusion around the information displayed </w:t>
      </w:r>
      <w:r w:rsidR="00C9220B">
        <w:t>o</w:t>
      </w:r>
      <w:r w:rsidRPr="007F2483">
        <w:t>n the NIP. This</w:t>
      </w:r>
      <w:r w:rsidR="00EC2559">
        <w:t>, along with FSANZ’s overarching objective of providing ‘</w:t>
      </w:r>
      <w:r w:rsidR="00EC2559" w:rsidRPr="00526240">
        <w:t>adequate information relating to food to enable consumers to make informed choices</w:t>
      </w:r>
      <w:r w:rsidR="00EC2559">
        <w:t>’,</w:t>
      </w:r>
      <w:r w:rsidRPr="007F2483">
        <w:t xml:space="preserve"> provides the impetus to reform labelling requirements with regard to serving sizes</w:t>
      </w:r>
      <w:r w:rsidR="00EC2559">
        <w:t>.</w:t>
      </w:r>
      <w:r w:rsidRPr="007F2483">
        <w:t xml:space="preserve"> VicHealth strongly recommends that minimising consumer confusion should be a priority in this consultation</w:t>
      </w:r>
      <w:r w:rsidR="0026571C">
        <w:t>, in particular</w:t>
      </w:r>
      <w:r w:rsidRPr="007F2483">
        <w:t xml:space="preserve"> </w:t>
      </w:r>
      <w:r w:rsidRPr="0026571C">
        <w:t>through</w:t>
      </w:r>
      <w:r w:rsidRPr="007F2483">
        <w:t xml:space="preserve"> considering standardisation of serving sizes.</w:t>
      </w:r>
    </w:p>
    <w:p w:rsidR="007F2483" w:rsidRPr="007F2483" w:rsidRDefault="0026571C" w:rsidP="000A6872">
      <w:pPr>
        <w:spacing w:after="200" w:line="276" w:lineRule="auto"/>
      </w:pPr>
      <w:r>
        <w:t>Currently, s</w:t>
      </w:r>
      <w:r w:rsidR="007F2483" w:rsidRPr="007F2483">
        <w:t>erving sizes</w:t>
      </w:r>
      <w:r>
        <w:t xml:space="preserve"> are inconsistent and unclear, which </w:t>
      </w:r>
      <w:r w:rsidR="007F2483" w:rsidRPr="007F2483">
        <w:t>impact</w:t>
      </w:r>
      <w:r>
        <w:t>s</w:t>
      </w:r>
      <w:r w:rsidR="007F2483" w:rsidRPr="007F2483">
        <w:t xml:space="preserve"> on people’s ability to make meaningful and informed choices. As stated on page 8</w:t>
      </w:r>
      <w:r>
        <w:t xml:space="preserve"> of the consultation paper</w:t>
      </w:r>
      <w:r w:rsidR="007F2483" w:rsidRPr="007F2483">
        <w:t xml:space="preserve">, </w:t>
      </w:r>
      <w:r>
        <w:t>‘</w:t>
      </w:r>
      <w:r w:rsidR="00EC2559">
        <w:t>[s]</w:t>
      </w:r>
      <w:proofErr w:type="spellStart"/>
      <w:proofErr w:type="gramStart"/>
      <w:r w:rsidR="007F2483" w:rsidRPr="007F2483">
        <w:t>erving</w:t>
      </w:r>
      <w:proofErr w:type="spellEnd"/>
      <w:proofErr w:type="gramEnd"/>
      <w:r w:rsidR="007F2483" w:rsidRPr="007F2483">
        <w:t xml:space="preserve"> sizes specified by the food </w:t>
      </w:r>
      <w:r w:rsidR="007F2483" w:rsidRPr="007F2483">
        <w:lastRenderedPageBreak/>
        <w:t xml:space="preserve">business should reflect </w:t>
      </w:r>
      <w:r w:rsidR="007F2483" w:rsidRPr="0026571C">
        <w:t xml:space="preserve">a realistic portion </w:t>
      </w:r>
      <w:r w:rsidR="007F2483" w:rsidRPr="007F2483">
        <w:t>of the food that a person might normally consume on one eating occasion</w:t>
      </w:r>
      <w:r>
        <w:t>’</w:t>
      </w:r>
      <w:r w:rsidR="007F2483" w:rsidRPr="007F2483">
        <w:t xml:space="preserve">. </w:t>
      </w:r>
    </w:p>
    <w:p w:rsidR="0026571C" w:rsidRPr="007F2483" w:rsidRDefault="00DE6A8E" w:rsidP="000A6872">
      <w:pPr>
        <w:spacing w:after="200" w:line="276" w:lineRule="auto"/>
      </w:pPr>
      <w:r>
        <w:t>However, t</w:t>
      </w:r>
      <w:r w:rsidR="0026571C" w:rsidRPr="007F2483">
        <w:t>he</w:t>
      </w:r>
      <w:r>
        <w:t>re is significant</w:t>
      </w:r>
      <w:r w:rsidR="0026571C" w:rsidRPr="007F2483">
        <w:t xml:space="preserve"> varia</w:t>
      </w:r>
      <w:r>
        <w:t xml:space="preserve">bility of serving sizes </w:t>
      </w:r>
      <w:r w:rsidR="0026571C" w:rsidRPr="007F2483">
        <w:t>set by manufacturers,</w:t>
      </w:r>
      <w:r>
        <w:t xml:space="preserve"> which</w:t>
      </w:r>
      <w:r w:rsidR="0026571C" w:rsidRPr="007F2483">
        <w:t xml:space="preserve"> affects consumers’ ability to compare products within food categories. </w:t>
      </w:r>
      <w:r>
        <w:t>These often</w:t>
      </w:r>
      <w:r w:rsidR="0026571C" w:rsidRPr="007F2483">
        <w:t xml:space="preserve"> do not reflect Australians’ actual serving sizes</w:t>
      </w:r>
      <w:r>
        <w:t>,</w:t>
      </w:r>
      <w:r w:rsidR="0026571C" w:rsidRPr="007F2483">
        <w:t xml:space="preserve"> limit</w:t>
      </w:r>
      <w:r>
        <w:t>ing</w:t>
      </w:r>
      <w:r w:rsidR="0026571C" w:rsidRPr="007F2483">
        <w:t xml:space="preserve"> consumers</w:t>
      </w:r>
      <w:r w:rsidR="0026571C">
        <w:t>’</w:t>
      </w:r>
      <w:r w:rsidR="0026571C" w:rsidRPr="007F2483">
        <w:t xml:space="preserve"> ability to make an informed choice about the</w:t>
      </w:r>
      <w:r>
        <w:t>ir</w:t>
      </w:r>
      <w:r w:rsidR="0026571C" w:rsidRPr="007F2483">
        <w:t xml:space="preserve"> nutrie</w:t>
      </w:r>
      <w:r>
        <w:t>nt intake, often resulting in</w:t>
      </w:r>
      <w:r w:rsidR="0026571C" w:rsidRPr="007F2483">
        <w:t xml:space="preserve"> an underestimation of intake levels. </w:t>
      </w:r>
    </w:p>
    <w:p w:rsidR="0026571C" w:rsidRPr="007F2483" w:rsidRDefault="0026571C" w:rsidP="000A6872">
      <w:pPr>
        <w:spacing w:after="200" w:line="276" w:lineRule="auto"/>
      </w:pPr>
      <w:r w:rsidRPr="007F2483">
        <w:t>For example, the recent Australian Health Survey found that the median serving size of ready</w:t>
      </w:r>
      <w:r w:rsidR="00C9220B">
        <w:t>-</w:t>
      </w:r>
      <w:r w:rsidRPr="007F2483">
        <w:t>to</w:t>
      </w:r>
      <w:r w:rsidR="00C9220B">
        <w:t>-</w:t>
      </w:r>
      <w:r w:rsidRPr="007F2483">
        <w:t xml:space="preserve">eat breakfast cereal for adults aged over 19 years is 47.8g. Similarly, </w:t>
      </w:r>
      <w:r>
        <w:t xml:space="preserve">children and young people have </w:t>
      </w:r>
      <w:r w:rsidRPr="007F2483">
        <w:t>median serving sizes at 34g for 4–8 year olds, 39g for 9–13 year olds, and 53g for 14–18 year olds.</w:t>
      </w:r>
      <w:r w:rsidR="00F43A1E">
        <w:rPr>
          <w:rStyle w:val="EndnoteReference"/>
        </w:rPr>
        <w:endnoteReference w:id="1"/>
      </w:r>
      <w:r w:rsidRPr="007F2483">
        <w:t xml:space="preserve"> </w:t>
      </w:r>
    </w:p>
    <w:p w:rsidR="0026571C" w:rsidRPr="007F2483" w:rsidRDefault="0026571C" w:rsidP="000A6872">
      <w:pPr>
        <w:spacing w:after="200" w:line="276" w:lineRule="auto"/>
      </w:pPr>
      <w:r w:rsidRPr="007F2483">
        <w:t xml:space="preserve">However manufacturers regularly set their serving sizes well below these levels. For example, the serving size provided on the NIP for Coco Pops, </w:t>
      </w:r>
      <w:proofErr w:type="spellStart"/>
      <w:r w:rsidRPr="007F2483">
        <w:t>Weet-Bix</w:t>
      </w:r>
      <w:proofErr w:type="spellEnd"/>
      <w:r w:rsidRPr="007F2483">
        <w:t xml:space="preserve"> and Crunchy Nut Corn Flakes is j</w:t>
      </w:r>
      <w:r w:rsidR="00F43A1E">
        <w:t>ust 30g, with Cornflakes at 35g,</w:t>
      </w:r>
      <w:r w:rsidRPr="007F2483">
        <w:t xml:space="preserve"> </w:t>
      </w:r>
      <w:proofErr w:type="spellStart"/>
      <w:r w:rsidRPr="007F2483">
        <w:t>Nutri</w:t>
      </w:r>
      <w:proofErr w:type="spellEnd"/>
      <w:r w:rsidRPr="007F2483">
        <w:t>-Grain at 40g</w:t>
      </w:r>
      <w:r w:rsidR="00F43A1E">
        <w:t xml:space="preserve"> and Just Right and All Bran at 45g – all lower than the median serving size for Australian adults. </w:t>
      </w:r>
    </w:p>
    <w:p w:rsidR="007F2483" w:rsidRPr="007F2483" w:rsidRDefault="007F2483" w:rsidP="000A6872">
      <w:pPr>
        <w:spacing w:after="200" w:line="276" w:lineRule="auto"/>
      </w:pPr>
      <w:r w:rsidRPr="007F2483">
        <w:t>For per serve nutrient information to effectively guide consumption choices, serving sizes must be standardised acros</w:t>
      </w:r>
      <w:r w:rsidR="00C9220B">
        <w:t>s the food category (e.g. ready-</w:t>
      </w:r>
      <w:r w:rsidRPr="007F2483">
        <w:t>to</w:t>
      </w:r>
      <w:r w:rsidR="00C9220B">
        <w:t>-</w:t>
      </w:r>
      <w:r w:rsidRPr="007F2483">
        <w:t xml:space="preserve">eat breakfast cereals) and correlate with actual average consumption levels as informed by population nutrition surveys. The approach used with beverages and confectionary </w:t>
      </w:r>
      <w:r w:rsidR="00DE6A8E">
        <w:t xml:space="preserve">utilises </w:t>
      </w:r>
      <w:r w:rsidRPr="007F2483">
        <w:t xml:space="preserve">this </w:t>
      </w:r>
      <w:r w:rsidR="00DE6A8E">
        <w:t xml:space="preserve">type of </w:t>
      </w:r>
      <w:r w:rsidRPr="007F2483">
        <w:t>standardised and meaningful serving size.</w:t>
      </w:r>
    </w:p>
    <w:p w:rsidR="007F2483" w:rsidRPr="007F2483" w:rsidRDefault="007F2483" w:rsidP="000A6872">
      <w:pPr>
        <w:spacing w:after="200" w:line="276" w:lineRule="auto"/>
      </w:pPr>
      <w:r w:rsidRPr="007F2483">
        <w:t xml:space="preserve">In addition, </w:t>
      </w:r>
      <w:r w:rsidR="00E15021">
        <w:t>Australia’s</w:t>
      </w:r>
      <w:r w:rsidRPr="007F2483">
        <w:t xml:space="preserve"> current practice is not consistent with international practice. As indicated in Attachment A of the consultation paper, both Canada and the United States have established reference tools that </w:t>
      </w:r>
      <w:r w:rsidR="00E15021">
        <w:t>inform</w:t>
      </w:r>
      <w:r w:rsidRPr="007F2483">
        <w:t xml:space="preserve"> serving size, and in the case of the Canadian model, the regulation specifies that manufacturers can only deviate from the standardised serving size where </w:t>
      </w:r>
      <w:r w:rsidR="00F43A1E">
        <w:t xml:space="preserve">it is </w:t>
      </w:r>
      <w:r w:rsidRPr="007F2483">
        <w:t xml:space="preserve">reasonable and not misleading. </w:t>
      </w:r>
    </w:p>
    <w:p w:rsidR="007F2483" w:rsidRPr="007F2483" w:rsidRDefault="007F2483" w:rsidP="000A6872">
      <w:pPr>
        <w:spacing w:after="200" w:line="276" w:lineRule="auto"/>
      </w:pPr>
      <w:r w:rsidRPr="007F2483">
        <w:t xml:space="preserve">Irrespective of FSANZ’s decision regarding recommendation 17, VicHealth recommends that FSANZ works with industry and public health and consumer groups to develop standard serving sizes for </w:t>
      </w:r>
      <w:r w:rsidR="00F43A1E">
        <w:t xml:space="preserve">those </w:t>
      </w:r>
      <w:r w:rsidRPr="007F2483">
        <w:t>food categories that carry nutrition information by serving size</w:t>
      </w:r>
      <w:r w:rsidR="00F43A1E">
        <w:t>,</w:t>
      </w:r>
      <w:r w:rsidRPr="007F2483">
        <w:t xml:space="preserve"> </w:t>
      </w:r>
      <w:r w:rsidR="00F43A1E">
        <w:t>which</w:t>
      </w:r>
      <w:r w:rsidRPr="007F2483">
        <w:t xml:space="preserve"> align with current consumption patterns.</w:t>
      </w:r>
      <w:r>
        <w:br/>
      </w:r>
    </w:p>
    <w:p w:rsidR="007F2483" w:rsidRPr="00BD5451" w:rsidRDefault="007F2483" w:rsidP="000A6872">
      <w:pPr>
        <w:spacing w:after="200" w:line="276" w:lineRule="auto"/>
        <w:rPr>
          <w:sz w:val="24"/>
        </w:rPr>
      </w:pPr>
      <w:r w:rsidRPr="00BD5451">
        <w:rPr>
          <w:b/>
          <w:sz w:val="24"/>
        </w:rPr>
        <w:t xml:space="preserve">The Commonwealth Government and federal regulatory bodies should prioritise </w:t>
      </w:r>
      <w:r w:rsidR="009F57DE">
        <w:rPr>
          <w:b/>
          <w:sz w:val="24"/>
        </w:rPr>
        <w:t xml:space="preserve">increasing consumer understanding, including implementation of a </w:t>
      </w:r>
      <w:r w:rsidRPr="00BD5451">
        <w:rPr>
          <w:b/>
          <w:sz w:val="24"/>
        </w:rPr>
        <w:t>universal interpretive front-of-pack labelling to enable informed food and beverage choices</w:t>
      </w:r>
    </w:p>
    <w:p w:rsidR="007F2483" w:rsidRPr="007F2483" w:rsidRDefault="007F2483" w:rsidP="000A6872">
      <w:pPr>
        <w:spacing w:after="200" w:line="276" w:lineRule="auto"/>
      </w:pPr>
      <w:r w:rsidRPr="007F2483">
        <w:t>While the</w:t>
      </w:r>
      <w:r w:rsidR="00F43A1E">
        <w:t xml:space="preserve"> </w:t>
      </w:r>
      <w:r w:rsidRPr="007F2483">
        <w:t xml:space="preserve">NIP provides some guidance for consumers, evidence referenced in the consultation paper strongly </w:t>
      </w:r>
      <w:r w:rsidR="00F43A1E" w:rsidRPr="007F2483">
        <w:t>indicates</w:t>
      </w:r>
      <w:r w:rsidRPr="007F2483">
        <w:t xml:space="preserve"> that the current system </w:t>
      </w:r>
      <w:r w:rsidR="006524E7">
        <w:t xml:space="preserve">as a whole </w:t>
      </w:r>
      <w:r w:rsidRPr="007F2483">
        <w:t xml:space="preserve">does not provide clear and consistent information for consumers. </w:t>
      </w:r>
    </w:p>
    <w:p w:rsidR="007F2483" w:rsidRPr="007F2483" w:rsidRDefault="007F2483" w:rsidP="000A6872">
      <w:pPr>
        <w:spacing w:after="200" w:line="276" w:lineRule="auto"/>
      </w:pPr>
      <w:r w:rsidRPr="007F2483">
        <w:t>People from low socioeconomic backgrounds, from culturally and linguistically diverse groups and with low literacy levels often experience the greatest difficulty understanding the NIP and the voluntary Daily Intake Guide (DIG) scheme.</w:t>
      </w:r>
      <w:r w:rsidRPr="007F2483">
        <w:rPr>
          <w:vertAlign w:val="superscript"/>
        </w:rPr>
        <w:endnoteReference w:id="2"/>
      </w:r>
      <w:r w:rsidRPr="007F2483">
        <w:t xml:space="preserve"> Considering there is a strong social gradient associated with nutrition-related chronic illness, simplification of nutrition</w:t>
      </w:r>
      <w:r w:rsidR="009F57DE">
        <w:t>-</w:t>
      </w:r>
      <w:r w:rsidRPr="007F2483">
        <w:t>related food labelling has the potential to benefit those experiencing disadvantage, as well as the general population.</w:t>
      </w:r>
      <w:r w:rsidRPr="007F2483">
        <w:rPr>
          <w:vertAlign w:val="superscript"/>
        </w:rPr>
        <w:endnoteReference w:id="3"/>
      </w:r>
    </w:p>
    <w:p w:rsidR="007F2483" w:rsidRPr="007F2483" w:rsidRDefault="007F2483" w:rsidP="000A6872">
      <w:pPr>
        <w:spacing w:after="200" w:line="276" w:lineRule="auto"/>
      </w:pPr>
      <w:r w:rsidRPr="007F2483">
        <w:t xml:space="preserve">VicHealth recommends a public education campaign be implemented to address consumer confusion on how to interpret </w:t>
      </w:r>
      <w:r w:rsidR="006524E7">
        <w:t xml:space="preserve">the </w:t>
      </w:r>
      <w:r w:rsidRPr="007F2483">
        <w:t>NIP</w:t>
      </w:r>
      <w:r w:rsidR="006524E7">
        <w:t>.</w:t>
      </w:r>
      <w:r w:rsidRPr="007F2483">
        <w:t xml:space="preserve"> </w:t>
      </w:r>
      <w:r w:rsidR="006524E7">
        <w:t>T</w:t>
      </w:r>
      <w:r w:rsidRPr="007F2483">
        <w:t xml:space="preserve">his should be informed by the outcomes of the focus group outlined </w:t>
      </w:r>
      <w:r w:rsidR="006524E7">
        <w:t>on page 12 of the consultation paper</w:t>
      </w:r>
      <w:r w:rsidRPr="007F2483">
        <w:t>.</w:t>
      </w:r>
    </w:p>
    <w:p w:rsidR="007F2483" w:rsidRPr="007F2483" w:rsidRDefault="007F2483" w:rsidP="000A6872">
      <w:pPr>
        <w:spacing w:after="200" w:line="276" w:lineRule="auto"/>
      </w:pPr>
      <w:r w:rsidRPr="007F2483">
        <w:lastRenderedPageBreak/>
        <w:t xml:space="preserve">This consultation </w:t>
      </w:r>
      <w:r w:rsidR="006524E7">
        <w:t xml:space="preserve">also </w:t>
      </w:r>
      <w:r w:rsidRPr="007F2483">
        <w:t>highlights the importance of an interpretive front-of-pack food labelling system, such as the HSRS</w:t>
      </w:r>
      <w:r w:rsidR="006524E7">
        <w:t>,</w:t>
      </w:r>
      <w:r w:rsidRPr="007F2483">
        <w:t xml:space="preserve"> to complement the NIP. The HSRS will benefit consumers across demographic groups, and VicHealth strongly supports its consistent and universal implementation. Consumers are also clearly supportive of changes to food labelling, and research has shown that the HSRS has a greater potential than </w:t>
      </w:r>
      <w:r w:rsidR="006524E7">
        <w:t xml:space="preserve">the </w:t>
      </w:r>
      <w:r w:rsidRPr="007F2483">
        <w:t>NIP and DIG to influence purchase decisions.</w:t>
      </w:r>
      <w:r w:rsidRPr="007F2483">
        <w:rPr>
          <w:vertAlign w:val="superscript"/>
        </w:rPr>
        <w:endnoteReference w:id="4"/>
      </w:r>
      <w:r w:rsidRPr="007F2483">
        <w:t xml:space="preserve"> </w:t>
      </w:r>
    </w:p>
    <w:p w:rsidR="007F2483" w:rsidRPr="007F2483" w:rsidRDefault="007F2483" w:rsidP="000A6872">
      <w:pPr>
        <w:spacing w:after="200" w:line="276" w:lineRule="auto"/>
      </w:pPr>
      <w:r w:rsidRPr="007F2483">
        <w:t>VicHealth acknowledges that FSANZ’s role in the HSRS implementation is limited unless there is a mandatory roll</w:t>
      </w:r>
      <w:r w:rsidR="006524E7">
        <w:t>-</w:t>
      </w:r>
      <w:r w:rsidRPr="007F2483">
        <w:t xml:space="preserve">out of the system, but we stress the importance of this system being considered alongside </w:t>
      </w:r>
      <w:r w:rsidR="009F57DE">
        <w:t xml:space="preserve">changes to </w:t>
      </w:r>
      <w:r w:rsidRPr="007F2483">
        <w:t xml:space="preserve">the NIP. Ongoing government leadership and commitment from industry and public health and consumer groups is required for successful implementation, along with a high profile public education </w:t>
      </w:r>
      <w:r w:rsidR="00C9220B">
        <w:t xml:space="preserve">campaign </w:t>
      </w:r>
      <w:r w:rsidRPr="007F2483">
        <w:t>to inform co</w:t>
      </w:r>
      <w:r w:rsidR="009F57DE">
        <w:t>nsumers of the changes and how to</w:t>
      </w:r>
      <w:r w:rsidRPr="007F2483">
        <w:t xml:space="preserve"> use the HSRS and the NIP to make healthier food choices.</w:t>
      </w:r>
      <w:bookmarkStart w:id="0" w:name="_GoBack"/>
      <w:bookmarkEnd w:id="0"/>
      <w:r w:rsidR="00BD5451">
        <w:br/>
      </w:r>
    </w:p>
    <w:p w:rsidR="006E17DB" w:rsidRDefault="001868B1" w:rsidP="000A6872">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9D9D9" w:themeFill="background1" w:themeFillShade="D9"/>
        <w:spacing w:after="200" w:line="276" w:lineRule="auto"/>
        <w:ind w:left="142" w:right="140"/>
      </w:pPr>
      <w:r>
        <w:t xml:space="preserve">VicHealth also supports the submission made by the </w:t>
      </w:r>
      <w:proofErr w:type="spellStart"/>
      <w:r w:rsidR="005330CD">
        <w:t>Dieti</w:t>
      </w:r>
      <w:r w:rsidR="00BD5451">
        <w:t>tians</w:t>
      </w:r>
      <w:proofErr w:type="spellEnd"/>
      <w:r w:rsidR="00BD5451">
        <w:t xml:space="preserve"> Association of Australia</w:t>
      </w:r>
      <w:r>
        <w:t xml:space="preserve">, the peak body for nutrition and dietetics in Australia, which </w:t>
      </w:r>
      <w:r w:rsidR="000A6872">
        <w:t>includes</w:t>
      </w:r>
      <w:r>
        <w:t xml:space="preserve"> </w:t>
      </w:r>
      <w:r w:rsidR="000A6872">
        <w:t>further</w:t>
      </w:r>
      <w:r>
        <w:t xml:space="preserve"> technical</w:t>
      </w:r>
      <w:r w:rsidR="000A6872">
        <w:t xml:space="preserve"> information in</w:t>
      </w:r>
      <w:r>
        <w:t xml:space="preserve"> response to the consultation. </w:t>
      </w:r>
    </w:p>
    <w:p w:rsidR="006E17DB" w:rsidRDefault="006E17DB" w:rsidP="000A6872">
      <w:pPr>
        <w:spacing w:line="276" w:lineRule="auto"/>
      </w:pPr>
    </w:p>
    <w:p w:rsidR="001868B1" w:rsidRDefault="001868B1" w:rsidP="000A6872">
      <w:pPr>
        <w:spacing w:line="276" w:lineRule="auto"/>
        <w:rPr>
          <w:b/>
        </w:rPr>
      </w:pPr>
    </w:p>
    <w:p w:rsidR="00BD5451" w:rsidRDefault="00BD5451" w:rsidP="000A6872">
      <w:pPr>
        <w:spacing w:line="276" w:lineRule="auto"/>
        <w:rPr>
          <w:b/>
        </w:rPr>
      </w:pPr>
    </w:p>
    <w:p w:rsidR="007308E5" w:rsidRPr="00BD5451" w:rsidRDefault="00AB6F7A" w:rsidP="000A6872">
      <w:pPr>
        <w:spacing w:line="276" w:lineRule="auto"/>
        <w:rPr>
          <w:b/>
          <w:sz w:val="24"/>
        </w:rPr>
      </w:pPr>
      <w:r w:rsidRPr="00BD5451">
        <w:rPr>
          <w:b/>
          <w:sz w:val="24"/>
        </w:rPr>
        <w:t>References</w:t>
      </w:r>
    </w:p>
    <w:sectPr w:rsidR="007308E5" w:rsidRPr="00BD5451" w:rsidSect="007F2483">
      <w:headerReference w:type="first" r:id="rId18"/>
      <w:footerReference w:type="first" r:id="rId19"/>
      <w:endnotePr>
        <w:numFmt w:val="decimal"/>
      </w:endnotePr>
      <w:pgSz w:w="11906" w:h="16838" w:code="9"/>
      <w:pgMar w:top="1134" w:right="1134" w:bottom="1134" w:left="1134" w:header="0" w:footer="102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89" w:rsidRDefault="009B7189" w:rsidP="00E709BF">
      <w:r>
        <w:separator/>
      </w:r>
    </w:p>
  </w:endnote>
  <w:endnote w:type="continuationSeparator" w:id="0">
    <w:p w:rsidR="009B7189" w:rsidRDefault="009B7189" w:rsidP="00E709BF">
      <w:r>
        <w:continuationSeparator/>
      </w:r>
    </w:p>
  </w:endnote>
  <w:endnote w:id="1">
    <w:p w:rsidR="00F43A1E" w:rsidRDefault="00F43A1E" w:rsidP="00F43A1E">
      <w:pPr>
        <w:pStyle w:val="EndnoteText"/>
        <w:spacing w:after="120"/>
      </w:pPr>
      <w:r>
        <w:rPr>
          <w:rStyle w:val="EndnoteReference"/>
        </w:rPr>
        <w:endnoteRef/>
      </w:r>
      <w:r>
        <w:t xml:space="preserve"> Australian Bureau of Statistics 2014</w:t>
      </w:r>
      <w:r w:rsidRPr="00F43A1E">
        <w:t>,</w:t>
      </w:r>
      <w:r w:rsidRPr="00F43A1E">
        <w:rPr>
          <w:i/>
        </w:rPr>
        <w:t xml:space="preserve"> Australian Health Survey: Nutrition First Results – Foods and Nutrients, 2011–12</w:t>
      </w:r>
      <w:r>
        <w:t xml:space="preserve">, cat. </w:t>
      </w:r>
      <w:proofErr w:type="gramStart"/>
      <w:r>
        <w:t>no.</w:t>
      </w:r>
      <w:r w:rsidRPr="00F43A1E">
        <w:t xml:space="preserve"> 4364.0.55.007</w:t>
      </w:r>
      <w:r>
        <w:t>, ABS, Canberra.</w:t>
      </w:r>
      <w:proofErr w:type="gramEnd"/>
      <w:r>
        <w:t xml:space="preserve"> </w:t>
      </w:r>
    </w:p>
  </w:endnote>
  <w:endnote w:id="2">
    <w:p w:rsidR="007F2483" w:rsidRPr="00BD5451" w:rsidRDefault="007F2483" w:rsidP="00BD5451">
      <w:pPr>
        <w:pStyle w:val="EndnoteText"/>
        <w:spacing w:after="120"/>
      </w:pPr>
      <w:r w:rsidRPr="00BD5451">
        <w:rPr>
          <w:rStyle w:val="EndnoteReference"/>
        </w:rPr>
        <w:endnoteRef/>
      </w:r>
      <w:r w:rsidRPr="00BD5451">
        <w:t xml:space="preserve"> Review Panel 2011, </w:t>
      </w:r>
      <w:r w:rsidRPr="00BD5451">
        <w:rPr>
          <w:i/>
        </w:rPr>
        <w:t>Labelling logic: review of food labelling law and policy</w:t>
      </w:r>
      <w:r w:rsidRPr="00BD5451">
        <w:t xml:space="preserve">, Commonwealth of Australia, Canberra; </w:t>
      </w:r>
      <w:proofErr w:type="spellStart"/>
      <w:r w:rsidRPr="00BD5451">
        <w:t>Viswathan</w:t>
      </w:r>
      <w:proofErr w:type="spellEnd"/>
      <w:r w:rsidRPr="00BD5451">
        <w:t xml:space="preserve">, M, </w:t>
      </w:r>
      <w:proofErr w:type="spellStart"/>
      <w:r w:rsidRPr="00BD5451">
        <w:t>Hastak</w:t>
      </w:r>
      <w:proofErr w:type="spellEnd"/>
      <w:r w:rsidRPr="00BD5451">
        <w:t xml:space="preserve">, M &amp; </w:t>
      </w:r>
      <w:proofErr w:type="spellStart"/>
      <w:r w:rsidRPr="00BD5451">
        <w:t>Gau</w:t>
      </w:r>
      <w:proofErr w:type="spellEnd"/>
      <w:r w:rsidRPr="00BD5451">
        <w:t xml:space="preserve">, R 2009, ‘Understanding and facilitating the usage of nutritional labels by low-literate consumers’, </w:t>
      </w:r>
      <w:r w:rsidRPr="00BD5451">
        <w:rPr>
          <w:i/>
        </w:rPr>
        <w:t>Journal of Public Policy and Marketing</w:t>
      </w:r>
      <w:r w:rsidRPr="00BD5451">
        <w:t>, vol. 28, no. 2, pp. 135–45.</w:t>
      </w:r>
    </w:p>
  </w:endnote>
  <w:endnote w:id="3">
    <w:p w:rsidR="007F2483" w:rsidRPr="00BD5451" w:rsidRDefault="007F2483" w:rsidP="00BD5451">
      <w:pPr>
        <w:pStyle w:val="EndnoteText"/>
        <w:spacing w:after="120"/>
      </w:pPr>
      <w:r w:rsidRPr="00BD5451">
        <w:rPr>
          <w:rStyle w:val="EndnoteReference"/>
        </w:rPr>
        <w:endnoteRef/>
      </w:r>
      <w:r w:rsidRPr="00BD5451">
        <w:t xml:space="preserve"> Review Panel 2011, </w:t>
      </w:r>
      <w:r w:rsidRPr="00BD5451">
        <w:rPr>
          <w:i/>
        </w:rPr>
        <w:t>Labelling logic: review of food labelling law and policy</w:t>
      </w:r>
      <w:r w:rsidRPr="00BD5451">
        <w:t xml:space="preserve">, Commonwealth of Australia, Canberra; ABS 2013, </w:t>
      </w:r>
      <w:r w:rsidRPr="00BD5451">
        <w:rPr>
          <w:i/>
        </w:rPr>
        <w:t>Profiles of Health, Australia, 2011–13</w:t>
      </w:r>
      <w:r w:rsidRPr="00BD5451">
        <w:t xml:space="preserve">, </w:t>
      </w:r>
      <w:proofErr w:type="gramStart"/>
      <w:r w:rsidRPr="00BD5451">
        <w:t>cat</w:t>
      </w:r>
      <w:proofErr w:type="gramEnd"/>
      <w:r w:rsidRPr="00BD5451">
        <w:t xml:space="preserve">. </w:t>
      </w:r>
      <w:proofErr w:type="gramStart"/>
      <w:r w:rsidRPr="00BD5451">
        <w:t>no</w:t>
      </w:r>
      <w:proofErr w:type="gramEnd"/>
      <w:r w:rsidRPr="00BD5451">
        <w:t xml:space="preserve">. 4338.0, Australian Bureau of Statistics, Canberra. </w:t>
      </w:r>
    </w:p>
  </w:endnote>
  <w:endnote w:id="4">
    <w:p w:rsidR="007F2483" w:rsidRPr="00CF601B" w:rsidRDefault="007F2483" w:rsidP="00BD5451">
      <w:pPr>
        <w:pStyle w:val="EndnoteText"/>
        <w:spacing w:after="120"/>
      </w:pPr>
      <w:r w:rsidRPr="00BD5451">
        <w:rPr>
          <w:rStyle w:val="EndnoteReference"/>
        </w:rPr>
        <w:endnoteRef/>
      </w:r>
      <w:r w:rsidRPr="00BD5451">
        <w:t xml:space="preserve"> Obesity Policy Coalition 2014, </w:t>
      </w:r>
      <w:r w:rsidRPr="00BD5451">
        <w:rPr>
          <w:i/>
        </w:rPr>
        <w:t xml:space="preserve">Policy brief: Health Star Rating food labelling system, </w:t>
      </w:r>
      <w:r w:rsidRPr="00BD5451">
        <w:t xml:space="preserve">Obesity Policy Coalition, Melbourne.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508919"/>
      <w:docPartObj>
        <w:docPartGallery w:val="Page Numbers (Bottom of Page)"/>
        <w:docPartUnique/>
      </w:docPartObj>
    </w:sdtPr>
    <w:sdtEndPr>
      <w:rPr>
        <w:noProof/>
        <w:sz w:val="18"/>
      </w:rPr>
    </w:sdtEndPr>
    <w:sdtContent>
      <w:p w:rsidR="009B7189" w:rsidRPr="00AB6F7A" w:rsidRDefault="009B7189" w:rsidP="00AB6F7A">
        <w:pPr>
          <w:pStyle w:val="Footer"/>
          <w:jc w:val="right"/>
          <w:rPr>
            <w:sz w:val="18"/>
          </w:rPr>
        </w:pPr>
        <w:r w:rsidRPr="00AB6F7A">
          <w:rPr>
            <w:sz w:val="18"/>
          </w:rPr>
          <w:fldChar w:fldCharType="begin"/>
        </w:r>
        <w:r w:rsidRPr="00AB6F7A">
          <w:rPr>
            <w:sz w:val="18"/>
          </w:rPr>
          <w:instrText xml:space="preserve"> PAGE   \* MERGEFORMAT </w:instrText>
        </w:r>
        <w:r w:rsidRPr="00AB6F7A">
          <w:rPr>
            <w:sz w:val="18"/>
          </w:rPr>
          <w:fldChar w:fldCharType="separate"/>
        </w:r>
        <w:r w:rsidR="009F57DE">
          <w:rPr>
            <w:noProof/>
            <w:sz w:val="18"/>
          </w:rPr>
          <w:t>4</w:t>
        </w:r>
        <w:r w:rsidRPr="00AB6F7A">
          <w:rPr>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89" w:rsidRDefault="009B7189">
    <w:pPr>
      <w:pStyle w:val="Footer"/>
    </w:pPr>
    <w:r>
      <w:rPr>
        <w:noProof/>
        <w:lang w:eastAsia="en-AU"/>
      </w:rPr>
      <w:drawing>
        <wp:anchor distT="0" distB="0" distL="114300" distR="114300" simplePos="0" relativeHeight="251660288" behindDoc="1" locked="1" layoutInCell="1" allowOverlap="1" wp14:anchorId="3BC395CC" wp14:editId="5956860E">
          <wp:simplePos x="0" y="0"/>
          <wp:positionH relativeFrom="column">
            <wp:posOffset>-947420</wp:posOffset>
          </wp:positionH>
          <wp:positionV relativeFrom="page">
            <wp:posOffset>9431655</wp:posOffset>
          </wp:positionV>
          <wp:extent cx="7596000" cy="1075573"/>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6000" cy="1075573"/>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490225113"/>
      <w:docPartObj>
        <w:docPartGallery w:val="Page Numbers (Bottom of Page)"/>
        <w:docPartUnique/>
      </w:docPartObj>
    </w:sdtPr>
    <w:sdtEndPr>
      <w:rPr>
        <w:noProof/>
      </w:rPr>
    </w:sdtEndPr>
    <w:sdtContent>
      <w:p w:rsidR="007F2483" w:rsidRPr="007F2483" w:rsidRDefault="007F2483" w:rsidP="007F2483">
        <w:pPr>
          <w:pStyle w:val="Footer"/>
          <w:jc w:val="right"/>
          <w:rPr>
            <w:sz w:val="18"/>
          </w:rPr>
        </w:pPr>
        <w:r w:rsidRPr="007F2483">
          <w:rPr>
            <w:sz w:val="18"/>
          </w:rPr>
          <w:fldChar w:fldCharType="begin"/>
        </w:r>
        <w:r w:rsidRPr="007F2483">
          <w:rPr>
            <w:sz w:val="18"/>
          </w:rPr>
          <w:instrText xml:space="preserve"> PAGE   \* MERGEFORMAT </w:instrText>
        </w:r>
        <w:r w:rsidRPr="007F2483">
          <w:rPr>
            <w:sz w:val="18"/>
          </w:rPr>
          <w:fldChar w:fldCharType="separate"/>
        </w:r>
        <w:r w:rsidR="00C9220B">
          <w:rPr>
            <w:noProof/>
            <w:sz w:val="18"/>
          </w:rPr>
          <w:t>1</w:t>
        </w:r>
        <w:r w:rsidRPr="007F2483">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89" w:rsidRDefault="009B7189" w:rsidP="00E709BF">
      <w:r>
        <w:separator/>
      </w:r>
    </w:p>
  </w:footnote>
  <w:footnote w:type="continuationSeparator" w:id="0">
    <w:p w:rsidR="009B7189" w:rsidRDefault="009B7189" w:rsidP="00E70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89" w:rsidRDefault="009B7189" w:rsidP="00E709BF">
    <w:pPr>
      <w:pStyle w:val="Header"/>
      <w:tabs>
        <w:tab w:val="clear" w:pos="4513"/>
        <w:tab w:val="clear" w:pos="9026"/>
        <w:tab w:val="left" w:pos="919"/>
      </w:tabs>
    </w:pPr>
    <w:r>
      <w:rPr>
        <w:noProof/>
        <w:lang w:eastAsia="en-AU"/>
      </w:rPr>
      <w:drawing>
        <wp:anchor distT="0" distB="0" distL="114300" distR="114300" simplePos="0" relativeHeight="251659264" behindDoc="1" locked="1" layoutInCell="1" allowOverlap="1" wp14:anchorId="66AC97A4" wp14:editId="06426259">
          <wp:simplePos x="0" y="0"/>
          <wp:positionH relativeFrom="column">
            <wp:posOffset>4709160</wp:posOffset>
          </wp:positionH>
          <wp:positionV relativeFrom="page">
            <wp:posOffset>327660</wp:posOffset>
          </wp:positionV>
          <wp:extent cx="1458000" cy="486000"/>
          <wp:effectExtent l="0" t="0" r="8890" b="9525"/>
          <wp:wrapNone/>
          <wp:docPr id="5" name="Picture 5" descr="\\vh2k\docs\M&amp;C\Admin\EM Office\Secure\Brand\Emery\Logos\Master Logos without TM\Brandmark\Jpeg + Png\VicHealth_Brandmark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2k\docs\M&amp;C\Admin\EM Office\Secure\Brand\Emery\Logos\Master Logos without TM\Brandmark\Jpeg + Png\VicHealth_Brandmark_PO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48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83" w:rsidRDefault="007F2483" w:rsidP="00E709BF">
    <w:pPr>
      <w:pStyle w:val="Header"/>
      <w:tabs>
        <w:tab w:val="clear" w:pos="4513"/>
        <w:tab w:val="clear" w:pos="9026"/>
        <w:tab w:val="left" w:pos="919"/>
      </w:tabs>
    </w:pPr>
    <w:r>
      <w:rPr>
        <w:noProof/>
        <w:lang w:eastAsia="en-AU"/>
      </w:rPr>
      <w:drawing>
        <wp:anchor distT="0" distB="0" distL="114300" distR="114300" simplePos="0" relativeHeight="251662336" behindDoc="1" locked="1" layoutInCell="1" allowOverlap="1" wp14:anchorId="7F4E3132" wp14:editId="75C235B6">
          <wp:simplePos x="0" y="0"/>
          <wp:positionH relativeFrom="margin">
            <wp:posOffset>4980305</wp:posOffset>
          </wp:positionH>
          <wp:positionV relativeFrom="page">
            <wp:posOffset>241935</wp:posOffset>
          </wp:positionV>
          <wp:extent cx="1187450" cy="395605"/>
          <wp:effectExtent l="0" t="0" r="0" b="4445"/>
          <wp:wrapNone/>
          <wp:docPr id="1" name="Picture 1" descr="\\vh2k\docs\M&amp;C\Admin\EM Office\Secure\Brand\Emery\Logos\Master Logos without TM\Brandmark\Jpeg + Png\VicHealth_Brandmark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2k\docs\M&amp;C\Admin\EM Office\Secure\Brand\Emery\Logos\Master Logos without TM\Brandmark\Jpeg + Png\VicHealth_Brandmark_PO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54A"/>
    <w:multiLevelType w:val="hybridMultilevel"/>
    <w:tmpl w:val="32D21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6B4197"/>
    <w:multiLevelType w:val="hybridMultilevel"/>
    <w:tmpl w:val="2154ED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2A85D89"/>
    <w:multiLevelType w:val="hybridMultilevel"/>
    <w:tmpl w:val="0F3E1E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4E6818"/>
    <w:multiLevelType w:val="hybridMultilevel"/>
    <w:tmpl w:val="59C41C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D927920"/>
    <w:multiLevelType w:val="hybridMultilevel"/>
    <w:tmpl w:val="24FE879A"/>
    <w:lvl w:ilvl="0" w:tplc="0C090001">
      <w:start w:val="1"/>
      <w:numFmt w:val="bullet"/>
      <w:lvlText w:val=""/>
      <w:lvlJc w:val="left"/>
      <w:pPr>
        <w:ind w:left="360" w:hanging="360"/>
      </w:pPr>
      <w:rPr>
        <w:rFonts w:ascii="Symbol" w:hAnsi="Symbol" w:hint="default"/>
      </w:rPr>
    </w:lvl>
    <w:lvl w:ilvl="1" w:tplc="A5F895EE">
      <w:start w:val="1"/>
      <w:numFmt w:val="bullet"/>
      <w:lvlText w:val="-"/>
      <w:lvlJc w:val="left"/>
      <w:pPr>
        <w:ind w:left="1080" w:hanging="360"/>
      </w:pPr>
      <w:rPr>
        <w:rFonts w:ascii="Symbol" w:hAnsi="Symbol"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5693908"/>
    <w:multiLevelType w:val="hybridMultilevel"/>
    <w:tmpl w:val="3718F4F0"/>
    <w:lvl w:ilvl="0" w:tplc="45121072">
      <w:start w:val="5"/>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E83668"/>
    <w:multiLevelType w:val="hybridMultilevel"/>
    <w:tmpl w:val="F366195E"/>
    <w:lvl w:ilvl="0" w:tplc="CD222994">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DC61B53"/>
    <w:multiLevelType w:val="hybridMultilevel"/>
    <w:tmpl w:val="D8608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C517B6"/>
    <w:multiLevelType w:val="hybridMultilevel"/>
    <w:tmpl w:val="A29E1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D079BF"/>
    <w:multiLevelType w:val="hybridMultilevel"/>
    <w:tmpl w:val="0D26A7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77565EB"/>
    <w:multiLevelType w:val="hybridMultilevel"/>
    <w:tmpl w:val="595448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0271074"/>
    <w:multiLevelType w:val="hybridMultilevel"/>
    <w:tmpl w:val="BF326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D220AD8"/>
    <w:multiLevelType w:val="hybridMultilevel"/>
    <w:tmpl w:val="60448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9"/>
  </w:num>
  <w:num w:numId="4">
    <w:abstractNumId w:val="11"/>
  </w:num>
  <w:num w:numId="5">
    <w:abstractNumId w:val="7"/>
  </w:num>
  <w:num w:numId="6">
    <w:abstractNumId w:val="2"/>
  </w:num>
  <w:num w:numId="7">
    <w:abstractNumId w:val="8"/>
  </w:num>
  <w:num w:numId="8">
    <w:abstractNumId w:val="3"/>
  </w:num>
  <w:num w:numId="9">
    <w:abstractNumId w:val="0"/>
  </w:num>
  <w:num w:numId="10">
    <w:abstractNumId w:val="10"/>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FF"/>
    <w:rsid w:val="000145B4"/>
    <w:rsid w:val="00072FA1"/>
    <w:rsid w:val="00095A65"/>
    <w:rsid w:val="00095F51"/>
    <w:rsid w:val="000A46C6"/>
    <w:rsid w:val="000A59C2"/>
    <w:rsid w:val="000A6872"/>
    <w:rsid w:val="000A7917"/>
    <w:rsid w:val="000D6522"/>
    <w:rsid w:val="000E2E5F"/>
    <w:rsid w:val="000F7518"/>
    <w:rsid w:val="00110B55"/>
    <w:rsid w:val="00114393"/>
    <w:rsid w:val="001145A2"/>
    <w:rsid w:val="001248DD"/>
    <w:rsid w:val="00155764"/>
    <w:rsid w:val="001730EA"/>
    <w:rsid w:val="001868B1"/>
    <w:rsid w:val="00195766"/>
    <w:rsid w:val="001F2111"/>
    <w:rsid w:val="00216C88"/>
    <w:rsid w:val="002455F0"/>
    <w:rsid w:val="002570DB"/>
    <w:rsid w:val="00260554"/>
    <w:rsid w:val="0026571C"/>
    <w:rsid w:val="0028579B"/>
    <w:rsid w:val="00287CEB"/>
    <w:rsid w:val="00297A71"/>
    <w:rsid w:val="002E05AE"/>
    <w:rsid w:val="00302C94"/>
    <w:rsid w:val="00396D11"/>
    <w:rsid w:val="003E56FC"/>
    <w:rsid w:val="004066E1"/>
    <w:rsid w:val="00436CF3"/>
    <w:rsid w:val="0046152B"/>
    <w:rsid w:val="00465A98"/>
    <w:rsid w:val="00467411"/>
    <w:rsid w:val="004A323A"/>
    <w:rsid w:val="004B28CD"/>
    <w:rsid w:val="004B4D3D"/>
    <w:rsid w:val="00504EDC"/>
    <w:rsid w:val="00516BF9"/>
    <w:rsid w:val="00525CAF"/>
    <w:rsid w:val="00526240"/>
    <w:rsid w:val="00530A89"/>
    <w:rsid w:val="005330CD"/>
    <w:rsid w:val="00543F23"/>
    <w:rsid w:val="00551892"/>
    <w:rsid w:val="005E782A"/>
    <w:rsid w:val="005E787F"/>
    <w:rsid w:val="00600D85"/>
    <w:rsid w:val="00604FD3"/>
    <w:rsid w:val="006247BB"/>
    <w:rsid w:val="006362DA"/>
    <w:rsid w:val="006363E0"/>
    <w:rsid w:val="00642CEA"/>
    <w:rsid w:val="006524E7"/>
    <w:rsid w:val="0066294C"/>
    <w:rsid w:val="006B5726"/>
    <w:rsid w:val="006B7D25"/>
    <w:rsid w:val="006D2A54"/>
    <w:rsid w:val="006E17DB"/>
    <w:rsid w:val="007308E5"/>
    <w:rsid w:val="007522DF"/>
    <w:rsid w:val="007907FA"/>
    <w:rsid w:val="007D2EFD"/>
    <w:rsid w:val="007E243F"/>
    <w:rsid w:val="007F2483"/>
    <w:rsid w:val="008106D8"/>
    <w:rsid w:val="00842752"/>
    <w:rsid w:val="00874CF4"/>
    <w:rsid w:val="00886F12"/>
    <w:rsid w:val="00906279"/>
    <w:rsid w:val="00907CA1"/>
    <w:rsid w:val="00947E3D"/>
    <w:rsid w:val="00966993"/>
    <w:rsid w:val="009940D8"/>
    <w:rsid w:val="009A1504"/>
    <w:rsid w:val="009B7189"/>
    <w:rsid w:val="009E04D1"/>
    <w:rsid w:val="009F57DE"/>
    <w:rsid w:val="009F67D1"/>
    <w:rsid w:val="00A61AAC"/>
    <w:rsid w:val="00A82ED3"/>
    <w:rsid w:val="00AB6F7A"/>
    <w:rsid w:val="00AD7388"/>
    <w:rsid w:val="00AE49F3"/>
    <w:rsid w:val="00B1536D"/>
    <w:rsid w:val="00B53622"/>
    <w:rsid w:val="00B5392C"/>
    <w:rsid w:val="00B84D44"/>
    <w:rsid w:val="00B95C59"/>
    <w:rsid w:val="00BB6E16"/>
    <w:rsid w:val="00BD5451"/>
    <w:rsid w:val="00C10101"/>
    <w:rsid w:val="00C22127"/>
    <w:rsid w:val="00C30CD8"/>
    <w:rsid w:val="00C70877"/>
    <w:rsid w:val="00C9220B"/>
    <w:rsid w:val="00CA5FDB"/>
    <w:rsid w:val="00CC31DA"/>
    <w:rsid w:val="00CE7909"/>
    <w:rsid w:val="00CF546E"/>
    <w:rsid w:val="00CF601B"/>
    <w:rsid w:val="00D91C88"/>
    <w:rsid w:val="00DA1AFF"/>
    <w:rsid w:val="00DD6397"/>
    <w:rsid w:val="00DE6A8E"/>
    <w:rsid w:val="00E15021"/>
    <w:rsid w:val="00E44560"/>
    <w:rsid w:val="00E60113"/>
    <w:rsid w:val="00E709BF"/>
    <w:rsid w:val="00E7749B"/>
    <w:rsid w:val="00E81076"/>
    <w:rsid w:val="00E95B16"/>
    <w:rsid w:val="00EA4692"/>
    <w:rsid w:val="00EC2559"/>
    <w:rsid w:val="00ED6AB5"/>
    <w:rsid w:val="00F0556E"/>
    <w:rsid w:val="00F12769"/>
    <w:rsid w:val="00F14EC0"/>
    <w:rsid w:val="00F35C9A"/>
    <w:rsid w:val="00F43A1E"/>
    <w:rsid w:val="00F52231"/>
    <w:rsid w:val="00FA7ADE"/>
    <w:rsid w:val="00FB2A6F"/>
    <w:rsid w:val="00FD2D04"/>
    <w:rsid w:val="00FE7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6E16"/>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9BF"/>
    <w:pPr>
      <w:tabs>
        <w:tab w:val="center" w:pos="4513"/>
        <w:tab w:val="right" w:pos="9026"/>
      </w:tabs>
    </w:pPr>
  </w:style>
  <w:style w:type="character" w:customStyle="1" w:styleId="HeaderChar">
    <w:name w:val="Header Char"/>
    <w:basedOn w:val="DefaultParagraphFont"/>
    <w:link w:val="Header"/>
    <w:uiPriority w:val="99"/>
    <w:rsid w:val="00E709BF"/>
  </w:style>
  <w:style w:type="paragraph" w:styleId="Footer">
    <w:name w:val="footer"/>
    <w:basedOn w:val="Normal"/>
    <w:link w:val="FooterChar"/>
    <w:uiPriority w:val="99"/>
    <w:unhideWhenUsed/>
    <w:rsid w:val="00E709BF"/>
    <w:pPr>
      <w:tabs>
        <w:tab w:val="center" w:pos="4513"/>
        <w:tab w:val="right" w:pos="9026"/>
      </w:tabs>
    </w:pPr>
  </w:style>
  <w:style w:type="character" w:customStyle="1" w:styleId="FooterChar">
    <w:name w:val="Footer Char"/>
    <w:basedOn w:val="DefaultParagraphFont"/>
    <w:link w:val="Footer"/>
    <w:uiPriority w:val="99"/>
    <w:rsid w:val="00E709BF"/>
  </w:style>
  <w:style w:type="paragraph" w:styleId="BalloonText">
    <w:name w:val="Balloon Text"/>
    <w:basedOn w:val="Normal"/>
    <w:link w:val="BalloonTextChar"/>
    <w:uiPriority w:val="99"/>
    <w:semiHidden/>
    <w:unhideWhenUsed/>
    <w:rsid w:val="00E709BF"/>
    <w:rPr>
      <w:rFonts w:ascii="Tahoma" w:hAnsi="Tahoma" w:cs="Tahoma"/>
      <w:sz w:val="16"/>
      <w:szCs w:val="16"/>
    </w:rPr>
  </w:style>
  <w:style w:type="character" w:customStyle="1" w:styleId="BalloonTextChar">
    <w:name w:val="Balloon Text Char"/>
    <w:basedOn w:val="DefaultParagraphFont"/>
    <w:link w:val="BalloonText"/>
    <w:uiPriority w:val="99"/>
    <w:semiHidden/>
    <w:rsid w:val="00E709BF"/>
    <w:rPr>
      <w:rFonts w:ascii="Tahoma" w:hAnsi="Tahoma" w:cs="Tahoma"/>
      <w:sz w:val="16"/>
      <w:szCs w:val="16"/>
    </w:rPr>
  </w:style>
  <w:style w:type="character" w:customStyle="1" w:styleId="Heading2Char">
    <w:name w:val="Heading 2 Char"/>
    <w:basedOn w:val="DefaultParagraphFont"/>
    <w:link w:val="Heading2"/>
    <w:uiPriority w:val="9"/>
    <w:rsid w:val="00BB6E1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BB6E16"/>
    <w:rPr>
      <w:color w:val="0000FF"/>
      <w:u w:val="single"/>
    </w:rPr>
  </w:style>
  <w:style w:type="paragraph" w:styleId="NormalWeb">
    <w:name w:val="Normal (Web)"/>
    <w:basedOn w:val="Normal"/>
    <w:uiPriority w:val="99"/>
    <w:semiHidden/>
    <w:unhideWhenUsed/>
    <w:rsid w:val="00BB6E16"/>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B6E16"/>
    <w:rPr>
      <w:b/>
      <w:bCs/>
    </w:rPr>
  </w:style>
  <w:style w:type="character" w:styleId="Emphasis">
    <w:name w:val="Emphasis"/>
    <w:basedOn w:val="DefaultParagraphFont"/>
    <w:uiPriority w:val="20"/>
    <w:qFormat/>
    <w:rsid w:val="00BB6E16"/>
    <w:rPr>
      <w:i/>
      <w:iCs/>
    </w:rPr>
  </w:style>
  <w:style w:type="paragraph" w:customStyle="1" w:styleId="Caption1">
    <w:name w:val="Caption1"/>
    <w:basedOn w:val="Normal"/>
    <w:rsid w:val="00BB6E16"/>
    <w:pPr>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59"/>
    <w:rsid w:val="006E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06D8"/>
    <w:rPr>
      <w:sz w:val="16"/>
      <w:szCs w:val="16"/>
    </w:rPr>
  </w:style>
  <w:style w:type="paragraph" w:styleId="CommentText">
    <w:name w:val="annotation text"/>
    <w:basedOn w:val="Normal"/>
    <w:link w:val="CommentTextChar"/>
    <w:uiPriority w:val="99"/>
    <w:unhideWhenUsed/>
    <w:rsid w:val="008106D8"/>
    <w:rPr>
      <w:sz w:val="20"/>
      <w:szCs w:val="20"/>
    </w:rPr>
  </w:style>
  <w:style w:type="character" w:customStyle="1" w:styleId="CommentTextChar">
    <w:name w:val="Comment Text Char"/>
    <w:basedOn w:val="DefaultParagraphFont"/>
    <w:link w:val="CommentText"/>
    <w:uiPriority w:val="99"/>
    <w:rsid w:val="008106D8"/>
    <w:rPr>
      <w:sz w:val="20"/>
      <w:szCs w:val="20"/>
    </w:rPr>
  </w:style>
  <w:style w:type="paragraph" w:styleId="CommentSubject">
    <w:name w:val="annotation subject"/>
    <w:basedOn w:val="CommentText"/>
    <w:next w:val="CommentText"/>
    <w:link w:val="CommentSubjectChar"/>
    <w:uiPriority w:val="99"/>
    <w:semiHidden/>
    <w:unhideWhenUsed/>
    <w:rsid w:val="008106D8"/>
    <w:rPr>
      <w:b/>
      <w:bCs/>
    </w:rPr>
  </w:style>
  <w:style w:type="character" w:customStyle="1" w:styleId="CommentSubjectChar">
    <w:name w:val="Comment Subject Char"/>
    <w:basedOn w:val="CommentTextChar"/>
    <w:link w:val="CommentSubject"/>
    <w:uiPriority w:val="99"/>
    <w:semiHidden/>
    <w:rsid w:val="008106D8"/>
    <w:rPr>
      <w:b/>
      <w:bCs/>
      <w:sz w:val="20"/>
      <w:szCs w:val="20"/>
    </w:rPr>
  </w:style>
  <w:style w:type="paragraph" w:styleId="ListParagraph">
    <w:name w:val="List Paragraph"/>
    <w:basedOn w:val="Normal"/>
    <w:uiPriority w:val="34"/>
    <w:qFormat/>
    <w:rsid w:val="00E81076"/>
    <w:pPr>
      <w:ind w:left="720"/>
      <w:contextualSpacing/>
    </w:pPr>
  </w:style>
  <w:style w:type="paragraph" w:styleId="EndnoteText">
    <w:name w:val="endnote text"/>
    <w:basedOn w:val="Normal"/>
    <w:link w:val="EndnoteTextChar"/>
    <w:uiPriority w:val="99"/>
    <w:semiHidden/>
    <w:unhideWhenUsed/>
    <w:rsid w:val="00947E3D"/>
    <w:rPr>
      <w:sz w:val="20"/>
      <w:szCs w:val="20"/>
    </w:rPr>
  </w:style>
  <w:style w:type="character" w:customStyle="1" w:styleId="EndnoteTextChar">
    <w:name w:val="Endnote Text Char"/>
    <w:basedOn w:val="DefaultParagraphFont"/>
    <w:link w:val="EndnoteText"/>
    <w:uiPriority w:val="99"/>
    <w:semiHidden/>
    <w:rsid w:val="00947E3D"/>
    <w:rPr>
      <w:sz w:val="20"/>
      <w:szCs w:val="20"/>
    </w:rPr>
  </w:style>
  <w:style w:type="character" w:styleId="EndnoteReference">
    <w:name w:val="endnote reference"/>
    <w:basedOn w:val="DefaultParagraphFont"/>
    <w:uiPriority w:val="99"/>
    <w:semiHidden/>
    <w:unhideWhenUsed/>
    <w:rsid w:val="00947E3D"/>
    <w:rPr>
      <w:vertAlign w:val="superscript"/>
    </w:rPr>
  </w:style>
  <w:style w:type="paragraph" w:styleId="FootnoteText">
    <w:name w:val="footnote text"/>
    <w:basedOn w:val="Normal"/>
    <w:link w:val="FootnoteTextChar"/>
    <w:uiPriority w:val="99"/>
    <w:semiHidden/>
    <w:unhideWhenUsed/>
    <w:rsid w:val="00D91C88"/>
    <w:rPr>
      <w:sz w:val="20"/>
      <w:szCs w:val="20"/>
    </w:rPr>
  </w:style>
  <w:style w:type="character" w:customStyle="1" w:styleId="FootnoteTextChar">
    <w:name w:val="Footnote Text Char"/>
    <w:basedOn w:val="DefaultParagraphFont"/>
    <w:link w:val="FootnoteText"/>
    <w:uiPriority w:val="99"/>
    <w:semiHidden/>
    <w:rsid w:val="00D91C88"/>
    <w:rPr>
      <w:sz w:val="20"/>
      <w:szCs w:val="20"/>
    </w:rPr>
  </w:style>
  <w:style w:type="character" w:styleId="FootnoteReference">
    <w:name w:val="footnote reference"/>
    <w:basedOn w:val="DefaultParagraphFont"/>
    <w:uiPriority w:val="99"/>
    <w:semiHidden/>
    <w:unhideWhenUsed/>
    <w:rsid w:val="00D91C88"/>
    <w:rPr>
      <w:vertAlign w:val="superscript"/>
    </w:rPr>
  </w:style>
  <w:style w:type="character" w:styleId="FollowedHyperlink">
    <w:name w:val="FollowedHyperlink"/>
    <w:basedOn w:val="DefaultParagraphFont"/>
    <w:uiPriority w:val="99"/>
    <w:semiHidden/>
    <w:unhideWhenUsed/>
    <w:rsid w:val="00C922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6E16"/>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9BF"/>
    <w:pPr>
      <w:tabs>
        <w:tab w:val="center" w:pos="4513"/>
        <w:tab w:val="right" w:pos="9026"/>
      </w:tabs>
    </w:pPr>
  </w:style>
  <w:style w:type="character" w:customStyle="1" w:styleId="HeaderChar">
    <w:name w:val="Header Char"/>
    <w:basedOn w:val="DefaultParagraphFont"/>
    <w:link w:val="Header"/>
    <w:uiPriority w:val="99"/>
    <w:rsid w:val="00E709BF"/>
  </w:style>
  <w:style w:type="paragraph" w:styleId="Footer">
    <w:name w:val="footer"/>
    <w:basedOn w:val="Normal"/>
    <w:link w:val="FooterChar"/>
    <w:uiPriority w:val="99"/>
    <w:unhideWhenUsed/>
    <w:rsid w:val="00E709BF"/>
    <w:pPr>
      <w:tabs>
        <w:tab w:val="center" w:pos="4513"/>
        <w:tab w:val="right" w:pos="9026"/>
      </w:tabs>
    </w:pPr>
  </w:style>
  <w:style w:type="character" w:customStyle="1" w:styleId="FooterChar">
    <w:name w:val="Footer Char"/>
    <w:basedOn w:val="DefaultParagraphFont"/>
    <w:link w:val="Footer"/>
    <w:uiPriority w:val="99"/>
    <w:rsid w:val="00E709BF"/>
  </w:style>
  <w:style w:type="paragraph" w:styleId="BalloonText">
    <w:name w:val="Balloon Text"/>
    <w:basedOn w:val="Normal"/>
    <w:link w:val="BalloonTextChar"/>
    <w:uiPriority w:val="99"/>
    <w:semiHidden/>
    <w:unhideWhenUsed/>
    <w:rsid w:val="00E709BF"/>
    <w:rPr>
      <w:rFonts w:ascii="Tahoma" w:hAnsi="Tahoma" w:cs="Tahoma"/>
      <w:sz w:val="16"/>
      <w:szCs w:val="16"/>
    </w:rPr>
  </w:style>
  <w:style w:type="character" w:customStyle="1" w:styleId="BalloonTextChar">
    <w:name w:val="Balloon Text Char"/>
    <w:basedOn w:val="DefaultParagraphFont"/>
    <w:link w:val="BalloonText"/>
    <w:uiPriority w:val="99"/>
    <w:semiHidden/>
    <w:rsid w:val="00E709BF"/>
    <w:rPr>
      <w:rFonts w:ascii="Tahoma" w:hAnsi="Tahoma" w:cs="Tahoma"/>
      <w:sz w:val="16"/>
      <w:szCs w:val="16"/>
    </w:rPr>
  </w:style>
  <w:style w:type="character" w:customStyle="1" w:styleId="Heading2Char">
    <w:name w:val="Heading 2 Char"/>
    <w:basedOn w:val="DefaultParagraphFont"/>
    <w:link w:val="Heading2"/>
    <w:uiPriority w:val="9"/>
    <w:rsid w:val="00BB6E1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BB6E16"/>
    <w:rPr>
      <w:color w:val="0000FF"/>
      <w:u w:val="single"/>
    </w:rPr>
  </w:style>
  <w:style w:type="paragraph" w:styleId="NormalWeb">
    <w:name w:val="Normal (Web)"/>
    <w:basedOn w:val="Normal"/>
    <w:uiPriority w:val="99"/>
    <w:semiHidden/>
    <w:unhideWhenUsed/>
    <w:rsid w:val="00BB6E16"/>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B6E16"/>
    <w:rPr>
      <w:b/>
      <w:bCs/>
    </w:rPr>
  </w:style>
  <w:style w:type="character" w:styleId="Emphasis">
    <w:name w:val="Emphasis"/>
    <w:basedOn w:val="DefaultParagraphFont"/>
    <w:uiPriority w:val="20"/>
    <w:qFormat/>
    <w:rsid w:val="00BB6E16"/>
    <w:rPr>
      <w:i/>
      <w:iCs/>
    </w:rPr>
  </w:style>
  <w:style w:type="paragraph" w:customStyle="1" w:styleId="Caption1">
    <w:name w:val="Caption1"/>
    <w:basedOn w:val="Normal"/>
    <w:rsid w:val="00BB6E16"/>
    <w:pPr>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59"/>
    <w:rsid w:val="006E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06D8"/>
    <w:rPr>
      <w:sz w:val="16"/>
      <w:szCs w:val="16"/>
    </w:rPr>
  </w:style>
  <w:style w:type="paragraph" w:styleId="CommentText">
    <w:name w:val="annotation text"/>
    <w:basedOn w:val="Normal"/>
    <w:link w:val="CommentTextChar"/>
    <w:uiPriority w:val="99"/>
    <w:unhideWhenUsed/>
    <w:rsid w:val="008106D8"/>
    <w:rPr>
      <w:sz w:val="20"/>
      <w:szCs w:val="20"/>
    </w:rPr>
  </w:style>
  <w:style w:type="character" w:customStyle="1" w:styleId="CommentTextChar">
    <w:name w:val="Comment Text Char"/>
    <w:basedOn w:val="DefaultParagraphFont"/>
    <w:link w:val="CommentText"/>
    <w:uiPriority w:val="99"/>
    <w:rsid w:val="008106D8"/>
    <w:rPr>
      <w:sz w:val="20"/>
      <w:szCs w:val="20"/>
    </w:rPr>
  </w:style>
  <w:style w:type="paragraph" w:styleId="CommentSubject">
    <w:name w:val="annotation subject"/>
    <w:basedOn w:val="CommentText"/>
    <w:next w:val="CommentText"/>
    <w:link w:val="CommentSubjectChar"/>
    <w:uiPriority w:val="99"/>
    <w:semiHidden/>
    <w:unhideWhenUsed/>
    <w:rsid w:val="008106D8"/>
    <w:rPr>
      <w:b/>
      <w:bCs/>
    </w:rPr>
  </w:style>
  <w:style w:type="character" w:customStyle="1" w:styleId="CommentSubjectChar">
    <w:name w:val="Comment Subject Char"/>
    <w:basedOn w:val="CommentTextChar"/>
    <w:link w:val="CommentSubject"/>
    <w:uiPriority w:val="99"/>
    <w:semiHidden/>
    <w:rsid w:val="008106D8"/>
    <w:rPr>
      <w:b/>
      <w:bCs/>
      <w:sz w:val="20"/>
      <w:szCs w:val="20"/>
    </w:rPr>
  </w:style>
  <w:style w:type="paragraph" w:styleId="ListParagraph">
    <w:name w:val="List Paragraph"/>
    <w:basedOn w:val="Normal"/>
    <w:uiPriority w:val="34"/>
    <w:qFormat/>
    <w:rsid w:val="00E81076"/>
    <w:pPr>
      <w:ind w:left="720"/>
      <w:contextualSpacing/>
    </w:pPr>
  </w:style>
  <w:style w:type="paragraph" w:styleId="EndnoteText">
    <w:name w:val="endnote text"/>
    <w:basedOn w:val="Normal"/>
    <w:link w:val="EndnoteTextChar"/>
    <w:uiPriority w:val="99"/>
    <w:semiHidden/>
    <w:unhideWhenUsed/>
    <w:rsid w:val="00947E3D"/>
    <w:rPr>
      <w:sz w:val="20"/>
      <w:szCs w:val="20"/>
    </w:rPr>
  </w:style>
  <w:style w:type="character" w:customStyle="1" w:styleId="EndnoteTextChar">
    <w:name w:val="Endnote Text Char"/>
    <w:basedOn w:val="DefaultParagraphFont"/>
    <w:link w:val="EndnoteText"/>
    <w:uiPriority w:val="99"/>
    <w:semiHidden/>
    <w:rsid w:val="00947E3D"/>
    <w:rPr>
      <w:sz w:val="20"/>
      <w:szCs w:val="20"/>
    </w:rPr>
  </w:style>
  <w:style w:type="character" w:styleId="EndnoteReference">
    <w:name w:val="endnote reference"/>
    <w:basedOn w:val="DefaultParagraphFont"/>
    <w:uiPriority w:val="99"/>
    <w:semiHidden/>
    <w:unhideWhenUsed/>
    <w:rsid w:val="00947E3D"/>
    <w:rPr>
      <w:vertAlign w:val="superscript"/>
    </w:rPr>
  </w:style>
  <w:style w:type="paragraph" w:styleId="FootnoteText">
    <w:name w:val="footnote text"/>
    <w:basedOn w:val="Normal"/>
    <w:link w:val="FootnoteTextChar"/>
    <w:uiPriority w:val="99"/>
    <w:semiHidden/>
    <w:unhideWhenUsed/>
    <w:rsid w:val="00D91C88"/>
    <w:rPr>
      <w:sz w:val="20"/>
      <w:szCs w:val="20"/>
    </w:rPr>
  </w:style>
  <w:style w:type="character" w:customStyle="1" w:styleId="FootnoteTextChar">
    <w:name w:val="Footnote Text Char"/>
    <w:basedOn w:val="DefaultParagraphFont"/>
    <w:link w:val="FootnoteText"/>
    <w:uiPriority w:val="99"/>
    <w:semiHidden/>
    <w:rsid w:val="00D91C88"/>
    <w:rPr>
      <w:sz w:val="20"/>
      <w:szCs w:val="20"/>
    </w:rPr>
  </w:style>
  <w:style w:type="character" w:styleId="FootnoteReference">
    <w:name w:val="footnote reference"/>
    <w:basedOn w:val="DefaultParagraphFont"/>
    <w:uiPriority w:val="99"/>
    <w:semiHidden/>
    <w:unhideWhenUsed/>
    <w:rsid w:val="00D91C88"/>
    <w:rPr>
      <w:vertAlign w:val="superscript"/>
    </w:rPr>
  </w:style>
  <w:style w:type="character" w:styleId="FollowedHyperlink">
    <w:name w:val="FollowedHyperlink"/>
    <w:basedOn w:val="DefaultParagraphFont"/>
    <w:uiPriority w:val="99"/>
    <w:semiHidden/>
    <w:unhideWhenUsed/>
    <w:rsid w:val="00C92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064">
      <w:bodyDiv w:val="1"/>
      <w:marLeft w:val="0"/>
      <w:marRight w:val="0"/>
      <w:marTop w:val="0"/>
      <w:marBottom w:val="0"/>
      <w:divBdr>
        <w:top w:val="none" w:sz="0" w:space="0" w:color="auto"/>
        <w:left w:val="none" w:sz="0" w:space="0" w:color="auto"/>
        <w:bottom w:val="none" w:sz="0" w:space="0" w:color="auto"/>
        <w:right w:val="none" w:sz="0" w:space="0" w:color="auto"/>
      </w:divBdr>
    </w:div>
    <w:div w:id="1183592168">
      <w:bodyDiv w:val="1"/>
      <w:marLeft w:val="0"/>
      <w:marRight w:val="0"/>
      <w:marTop w:val="0"/>
      <w:marBottom w:val="0"/>
      <w:divBdr>
        <w:top w:val="none" w:sz="0" w:space="0" w:color="auto"/>
        <w:left w:val="none" w:sz="0" w:space="0" w:color="auto"/>
        <w:bottom w:val="none" w:sz="0" w:space="0" w:color="auto"/>
        <w:right w:val="none" w:sz="0" w:space="0" w:color="auto"/>
      </w:divBdr>
      <w:divsChild>
        <w:div w:id="994185462">
          <w:marLeft w:val="0"/>
          <w:marRight w:val="0"/>
          <w:marTop w:val="0"/>
          <w:marBottom w:val="0"/>
          <w:divBdr>
            <w:top w:val="none" w:sz="0" w:space="0" w:color="auto"/>
            <w:left w:val="none" w:sz="0" w:space="0" w:color="auto"/>
            <w:bottom w:val="none" w:sz="0" w:space="0" w:color="auto"/>
            <w:right w:val="none" w:sz="0" w:space="0" w:color="auto"/>
          </w:divBdr>
          <w:divsChild>
            <w:div w:id="232930280">
              <w:marLeft w:val="0"/>
              <w:marRight w:val="0"/>
              <w:marTop w:val="0"/>
              <w:marBottom w:val="0"/>
              <w:divBdr>
                <w:top w:val="none" w:sz="0" w:space="0" w:color="auto"/>
                <w:left w:val="none" w:sz="0" w:space="0" w:color="auto"/>
                <w:bottom w:val="none" w:sz="0" w:space="0" w:color="auto"/>
                <w:right w:val="none" w:sz="0" w:space="0" w:color="auto"/>
              </w:divBdr>
              <w:divsChild>
                <w:div w:id="217938669">
                  <w:marLeft w:val="0"/>
                  <w:marRight w:val="0"/>
                  <w:marTop w:val="0"/>
                  <w:marBottom w:val="0"/>
                  <w:divBdr>
                    <w:top w:val="none" w:sz="0" w:space="0" w:color="auto"/>
                    <w:left w:val="none" w:sz="0" w:space="0" w:color="auto"/>
                    <w:bottom w:val="none" w:sz="0" w:space="0" w:color="auto"/>
                    <w:right w:val="none" w:sz="0" w:space="0" w:color="auto"/>
                  </w:divBdr>
                  <w:divsChild>
                    <w:div w:id="1168328489">
                      <w:marLeft w:val="0"/>
                      <w:marRight w:val="0"/>
                      <w:marTop w:val="0"/>
                      <w:marBottom w:val="0"/>
                      <w:divBdr>
                        <w:top w:val="none" w:sz="0" w:space="0" w:color="auto"/>
                        <w:left w:val="none" w:sz="0" w:space="0" w:color="auto"/>
                        <w:bottom w:val="none" w:sz="0" w:space="0" w:color="auto"/>
                        <w:right w:val="none" w:sz="0" w:space="0" w:color="auto"/>
                      </w:divBdr>
                      <w:divsChild>
                        <w:div w:id="540485583">
                          <w:marLeft w:val="0"/>
                          <w:marRight w:val="0"/>
                          <w:marTop w:val="0"/>
                          <w:marBottom w:val="0"/>
                          <w:divBdr>
                            <w:top w:val="none" w:sz="0" w:space="0" w:color="auto"/>
                            <w:left w:val="none" w:sz="0" w:space="0" w:color="auto"/>
                            <w:bottom w:val="none" w:sz="0" w:space="0" w:color="auto"/>
                            <w:right w:val="none" w:sz="0" w:space="0" w:color="auto"/>
                          </w:divBdr>
                          <w:divsChild>
                            <w:div w:id="391462243">
                              <w:marLeft w:val="0"/>
                              <w:marRight w:val="0"/>
                              <w:marTop w:val="0"/>
                              <w:marBottom w:val="0"/>
                              <w:divBdr>
                                <w:top w:val="none" w:sz="0" w:space="0" w:color="auto"/>
                                <w:left w:val="none" w:sz="0" w:space="0" w:color="auto"/>
                                <w:bottom w:val="none" w:sz="0" w:space="0" w:color="auto"/>
                                <w:right w:val="none" w:sz="0" w:space="0" w:color="auto"/>
                              </w:divBdr>
                              <w:divsChild>
                                <w:div w:id="17273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h30challenge.com.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vichealth.vic.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ichealth.vic.gov.au/Publications/VicHealth-General-Publications/VicHealth-Action-Agenda-for-Health-Promotion.asp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vichealth.vic.gov.au/Programs-and-Projects/Healthy-Eating.asp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VicHealth\VH%20Letterhead_ema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7C487D1-2C7D-4F3D-AEAE-8A2C57CA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VH Letterhead_email</Template>
  <TotalTime>539</TotalTime>
  <Pages>5</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Vic Health</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Nicholls</dc:creator>
  <cp:lastModifiedBy>Cassie Nicholls</cp:lastModifiedBy>
  <cp:revision>18</cp:revision>
  <cp:lastPrinted>2015-01-29T04:06:00Z</cp:lastPrinted>
  <dcterms:created xsi:type="dcterms:W3CDTF">2015-01-30T01:26:00Z</dcterms:created>
  <dcterms:modified xsi:type="dcterms:W3CDTF">2015-02-19T01:25:00Z</dcterms:modified>
</cp:coreProperties>
</file>