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75" w:rsidRDefault="007A58EE" w:rsidP="00495F39">
      <w:pPr>
        <w:spacing w:after="1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Men’s Risky Drinking Grants 2019 – Frequently Asked Questions</w:t>
      </w:r>
    </w:p>
    <w:p w:rsidR="007A58EE" w:rsidRDefault="007A58EE" w:rsidP="00556E8C">
      <w:pPr>
        <w:spacing w:after="120"/>
        <w:rPr>
          <w:b/>
          <w:sz w:val="32"/>
        </w:rPr>
      </w:pPr>
    </w:p>
    <w:p w:rsidR="008317C6" w:rsidRDefault="007A58EE" w:rsidP="008317C6">
      <w:pPr>
        <w:pStyle w:val="ListParagraph"/>
        <w:numPr>
          <w:ilvl w:val="0"/>
          <w:numId w:val="1"/>
        </w:numPr>
        <w:rPr>
          <w:b/>
        </w:rPr>
      </w:pPr>
      <w:r w:rsidRPr="007A58EE">
        <w:rPr>
          <w:b/>
        </w:rPr>
        <w:t>Are local sporting clubs with sponsorship relationships with local breweries or pubs ineligible?</w:t>
      </w:r>
    </w:p>
    <w:p w:rsidR="008317C6" w:rsidRDefault="008317C6" w:rsidP="008317C6">
      <w:pPr>
        <w:pStyle w:val="ListParagraph"/>
        <w:rPr>
          <w:b/>
        </w:rPr>
      </w:pPr>
    </w:p>
    <w:p w:rsidR="007A58EE" w:rsidRPr="008317C6" w:rsidRDefault="007A58EE" w:rsidP="008317C6">
      <w:pPr>
        <w:pStyle w:val="ListParagraph"/>
        <w:rPr>
          <w:b/>
        </w:rPr>
      </w:pPr>
      <w:r w:rsidRPr="008317C6">
        <w:t xml:space="preserve">VicHealth recognises that many sports clubs receive support from local pubs and alcohol retailers. </w:t>
      </w:r>
      <w:r w:rsidR="008317C6" w:rsidRPr="008317C6">
        <w:t>If your organisation currently has a funding arrangement with an alcohol producer or retailer, please fill out the Conflict of Interest section in the online application form.</w:t>
      </w:r>
      <w:r w:rsidR="008317C6">
        <w:t xml:space="preserve"> Each conflict of interest will be assessed on a case-by-case basis.</w:t>
      </w:r>
    </w:p>
    <w:p w:rsidR="008317C6" w:rsidRDefault="008317C6" w:rsidP="007A58EE">
      <w:pPr>
        <w:ind w:left="360"/>
      </w:pPr>
    </w:p>
    <w:p w:rsidR="008317C6" w:rsidRDefault="008317C6" w:rsidP="00A913B7">
      <w:pPr>
        <w:ind w:left="720"/>
      </w:pPr>
      <w:r>
        <w:t>To assess your conflict of interest we will need the following information:</w:t>
      </w:r>
    </w:p>
    <w:p w:rsidR="008317C6" w:rsidRDefault="008317C6" w:rsidP="00A913B7">
      <w:pPr>
        <w:pStyle w:val="ListParagraph"/>
        <w:numPr>
          <w:ilvl w:val="0"/>
          <w:numId w:val="3"/>
        </w:numPr>
        <w:ind w:left="1080"/>
      </w:pPr>
      <w:r>
        <w:t>Is the funding received from an alcohol producer (i.e. brewery, winery), or a retailer?</w:t>
      </w:r>
    </w:p>
    <w:p w:rsidR="008317C6" w:rsidRDefault="008317C6" w:rsidP="00A913B7">
      <w:pPr>
        <w:pStyle w:val="ListParagraph"/>
        <w:numPr>
          <w:ilvl w:val="0"/>
          <w:numId w:val="3"/>
        </w:numPr>
        <w:ind w:left="1080"/>
      </w:pPr>
      <w:r>
        <w:t xml:space="preserve">What is the </w:t>
      </w:r>
      <w:r w:rsidR="00EF613D">
        <w:t xml:space="preserve">nature </w:t>
      </w:r>
      <w:r>
        <w:t xml:space="preserve">of the relationship? (i.e. </w:t>
      </w:r>
      <w:r w:rsidR="00370D7D">
        <w:t>W</w:t>
      </w:r>
      <w:r w:rsidR="00EF613D">
        <w:t xml:space="preserve">hat is the scale and scope of the arrangement? </w:t>
      </w:r>
      <w:r w:rsidR="00370D7D">
        <w:t>W</w:t>
      </w:r>
      <w:r>
        <w:t>hat do you receive as part of your financial arrangement?</w:t>
      </w:r>
      <w:r w:rsidR="00EF613D">
        <w:t xml:space="preserve"> What is the club required to do to support the investment?</w:t>
      </w:r>
      <w:r>
        <w:t>)</w:t>
      </w:r>
    </w:p>
    <w:p w:rsidR="007A58EE" w:rsidRDefault="007A58EE" w:rsidP="007A58EE">
      <w:pPr>
        <w:pStyle w:val="ListParagraph"/>
        <w:ind w:left="1080"/>
      </w:pPr>
    </w:p>
    <w:p w:rsidR="007A58EE" w:rsidRPr="007A58EE" w:rsidRDefault="007A58EE" w:rsidP="007A58EE">
      <w:pPr>
        <w:pStyle w:val="ListParagraph"/>
        <w:numPr>
          <w:ilvl w:val="0"/>
          <w:numId w:val="1"/>
        </w:numPr>
        <w:rPr>
          <w:b/>
        </w:rPr>
      </w:pPr>
      <w:r w:rsidRPr="007A58EE">
        <w:rPr>
          <w:b/>
        </w:rPr>
        <w:t>When you’re designing the intervention do you address all three elements</w:t>
      </w:r>
      <w:r>
        <w:rPr>
          <w:b/>
        </w:rPr>
        <w:t xml:space="preserve"> (settings, shared meanings and skills) that are outlined in the Alcohol Cultures Framework</w:t>
      </w:r>
      <w:r w:rsidRPr="007A58EE">
        <w:rPr>
          <w:b/>
        </w:rPr>
        <w:t>?</w:t>
      </w:r>
    </w:p>
    <w:p w:rsidR="007A58EE" w:rsidRDefault="007A58EE" w:rsidP="00A913B7">
      <w:pPr>
        <w:ind w:left="720"/>
      </w:pPr>
      <w:r>
        <w:t xml:space="preserve">Not necessarily. Some of our previous funded work has focused primarily on one element – for example a specific setting or challenging </w:t>
      </w:r>
      <w:r w:rsidR="00EF613D">
        <w:t>the shred meanings and norms of a group</w:t>
      </w:r>
      <w:r>
        <w:t xml:space="preserve">. You can focus on multiple elements or just one, though focusing on more </w:t>
      </w:r>
      <w:r w:rsidR="00370D7D">
        <w:t>elements will</w:t>
      </w:r>
      <w:r>
        <w:t xml:space="preserve"> accelerate impact. </w:t>
      </w:r>
    </w:p>
    <w:p w:rsidR="007A58EE" w:rsidRDefault="007A58EE" w:rsidP="007A58EE">
      <w:pPr>
        <w:pStyle w:val="ListParagraph"/>
        <w:ind w:left="1080"/>
      </w:pPr>
    </w:p>
    <w:p w:rsidR="007A58EE" w:rsidRDefault="007A58EE" w:rsidP="007A58EE">
      <w:pPr>
        <w:pStyle w:val="ListParagraph"/>
        <w:numPr>
          <w:ilvl w:val="0"/>
          <w:numId w:val="1"/>
        </w:numPr>
        <w:rPr>
          <w:b/>
        </w:rPr>
      </w:pPr>
      <w:r w:rsidRPr="007A58EE">
        <w:rPr>
          <w:b/>
        </w:rPr>
        <w:t>Will there be an evaluation of the program?</w:t>
      </w:r>
    </w:p>
    <w:p w:rsidR="00A913B7" w:rsidRDefault="00A913B7" w:rsidP="00A913B7">
      <w:pPr>
        <w:pStyle w:val="ListParagraph"/>
      </w:pPr>
    </w:p>
    <w:p w:rsidR="00A913B7" w:rsidRDefault="00A913B7" w:rsidP="00A913B7">
      <w:pPr>
        <w:pStyle w:val="ListParagraph"/>
      </w:pPr>
      <w:r>
        <w:t>Evaluation of projects will be undertaken by an evaluator commissioned by VicHealth. Applicants are not required to include impact/outcome evaluation costs in their submission, however they must allow capacity for working with the evaluator and enabling evaluation activities such as data collection and access to the participants.</w:t>
      </w:r>
    </w:p>
    <w:p w:rsidR="00EF613D" w:rsidRDefault="00EF613D" w:rsidP="00A913B7">
      <w:pPr>
        <w:pStyle w:val="ListParagraph"/>
      </w:pPr>
    </w:p>
    <w:p w:rsidR="00EF613D" w:rsidRPr="007A58EE" w:rsidRDefault="00EF613D" w:rsidP="00A913B7">
      <w:pPr>
        <w:pStyle w:val="ListParagraph"/>
        <w:rPr>
          <w:b/>
        </w:rPr>
      </w:pPr>
      <w:r>
        <w:t>VicHealth will not fund organisations to employ the services of an independent project evaluator.</w:t>
      </w:r>
      <w:r w:rsidR="00214602">
        <w:t xml:space="preserve"> </w:t>
      </w:r>
    </w:p>
    <w:p w:rsidR="007A58EE" w:rsidRDefault="007A58EE" w:rsidP="007A58EE"/>
    <w:p w:rsidR="007A58EE" w:rsidRPr="007A58EE" w:rsidRDefault="007A58EE" w:rsidP="007A58EE">
      <w:pPr>
        <w:pStyle w:val="ListParagraph"/>
        <w:numPr>
          <w:ilvl w:val="0"/>
          <w:numId w:val="1"/>
        </w:numPr>
        <w:rPr>
          <w:b/>
        </w:rPr>
      </w:pPr>
      <w:r w:rsidRPr="007A58EE">
        <w:rPr>
          <w:b/>
        </w:rPr>
        <w:t xml:space="preserve">How much should each project </w:t>
      </w:r>
      <w:r w:rsidR="00EF613D">
        <w:rPr>
          <w:b/>
        </w:rPr>
        <w:t xml:space="preserve">allow for </w:t>
      </w:r>
      <w:r w:rsidRPr="007A58EE">
        <w:rPr>
          <w:b/>
        </w:rPr>
        <w:t>evaluation?</w:t>
      </w:r>
    </w:p>
    <w:p w:rsidR="007A58EE" w:rsidRDefault="0031089C" w:rsidP="00EF613D">
      <w:pPr>
        <w:ind w:left="720"/>
      </w:pPr>
      <w:r>
        <w:t>VicHealth will be commissioning an evaluation</w:t>
      </w:r>
      <w:r w:rsidR="00A1747C">
        <w:t xml:space="preserve"> so</w:t>
      </w:r>
      <w:r>
        <w:t xml:space="preserve"> organisations only need to budget for costs associated with enabling evaluation activities</w:t>
      </w:r>
      <w:r w:rsidR="00A1747C">
        <w:t xml:space="preserve"> as outlined at point 3</w:t>
      </w:r>
      <w:r w:rsidR="002F7F91">
        <w:t xml:space="preserve"> above</w:t>
      </w:r>
      <w:r w:rsidR="00A1747C">
        <w:t>.</w:t>
      </w:r>
    </w:p>
    <w:p w:rsidR="007A58EE" w:rsidRDefault="007A58EE" w:rsidP="007A58EE"/>
    <w:p w:rsidR="007A58EE" w:rsidRPr="007A58EE" w:rsidRDefault="007A58EE" w:rsidP="007A58EE">
      <w:pPr>
        <w:pStyle w:val="ListParagraph"/>
        <w:numPr>
          <w:ilvl w:val="0"/>
          <w:numId w:val="1"/>
        </w:numPr>
        <w:rPr>
          <w:b/>
        </w:rPr>
      </w:pPr>
      <w:r w:rsidRPr="007A58EE">
        <w:rPr>
          <w:b/>
        </w:rPr>
        <w:t>How many projects will VicHealth fund?</w:t>
      </w:r>
    </w:p>
    <w:p w:rsidR="007A58EE" w:rsidRDefault="007A58EE" w:rsidP="0031089C">
      <w:pPr>
        <w:ind w:left="720"/>
      </w:pPr>
      <w:r>
        <w:t>Until we see the applications we won’t know e</w:t>
      </w:r>
      <w:r w:rsidR="0031089C">
        <w:t xml:space="preserve">xactly how many will be funded. The total pool of funding is $500,000, with grants of up to $150,000 for two years available per applicant, so we hope to be able to fund </w:t>
      </w:r>
      <w:r>
        <w:t xml:space="preserve">between three </w:t>
      </w:r>
      <w:r w:rsidR="0031089C">
        <w:t xml:space="preserve">to </w:t>
      </w:r>
      <w:r>
        <w:t>five</w:t>
      </w:r>
      <w:r w:rsidR="0031089C">
        <w:t xml:space="preserve"> grants</w:t>
      </w:r>
      <w:r>
        <w:t>.</w:t>
      </w:r>
    </w:p>
    <w:p w:rsidR="007A58EE" w:rsidRDefault="007A58EE" w:rsidP="007A58EE"/>
    <w:p w:rsidR="007A58EE" w:rsidRPr="007A58EE" w:rsidRDefault="007A58EE" w:rsidP="007A58EE">
      <w:pPr>
        <w:pStyle w:val="ListParagraph"/>
        <w:numPr>
          <w:ilvl w:val="0"/>
          <w:numId w:val="1"/>
        </w:numPr>
        <w:rPr>
          <w:b/>
        </w:rPr>
      </w:pPr>
      <w:r w:rsidRPr="007A58EE">
        <w:rPr>
          <w:b/>
        </w:rPr>
        <w:t>How long after applications close can we expect to hear back from VicHealth?</w:t>
      </w:r>
    </w:p>
    <w:p w:rsidR="007A58EE" w:rsidRDefault="0031089C" w:rsidP="0031089C">
      <w:pPr>
        <w:ind w:left="720"/>
      </w:pPr>
      <w:r>
        <w:t>Two weeks after the EOI closes we will aim to provide applicants with an update on the status of their application</w:t>
      </w:r>
      <w:r w:rsidR="007A58EE">
        <w:t xml:space="preserve">. </w:t>
      </w:r>
    </w:p>
    <w:p w:rsidR="007A58EE" w:rsidRDefault="007A58EE" w:rsidP="007A58EE"/>
    <w:p w:rsidR="007A58EE" w:rsidRPr="007A58EE" w:rsidRDefault="007A58EE" w:rsidP="007A58EE">
      <w:pPr>
        <w:pStyle w:val="ListParagraph"/>
        <w:numPr>
          <w:ilvl w:val="0"/>
          <w:numId w:val="1"/>
        </w:numPr>
        <w:rPr>
          <w:b/>
        </w:rPr>
      </w:pPr>
      <w:r w:rsidRPr="007A58EE">
        <w:rPr>
          <w:b/>
        </w:rPr>
        <w:lastRenderedPageBreak/>
        <w:t>Could primary research form part of the grant?</w:t>
      </w:r>
    </w:p>
    <w:p w:rsidR="007A58EE" w:rsidRDefault="0031089C" w:rsidP="0031089C">
      <w:pPr>
        <w:ind w:left="720"/>
      </w:pPr>
      <w:r>
        <w:t xml:space="preserve">No. We ask that applicants use the existing research </w:t>
      </w:r>
      <w:r w:rsidR="00495F39">
        <w:t>as per the requirements of</w:t>
      </w:r>
      <w:r>
        <w:t xml:space="preserve"> Category 1 funding, or provide their own research insights as per the requirements of Category 2.</w:t>
      </w:r>
    </w:p>
    <w:p w:rsidR="0031089C" w:rsidRDefault="0031089C" w:rsidP="0031089C">
      <w:pPr>
        <w:ind w:left="720"/>
      </w:pPr>
    </w:p>
    <w:p w:rsidR="007A58EE" w:rsidRPr="007A58EE" w:rsidRDefault="007A58EE" w:rsidP="007A58EE">
      <w:pPr>
        <w:pStyle w:val="ListParagraph"/>
        <w:numPr>
          <w:ilvl w:val="0"/>
          <w:numId w:val="1"/>
        </w:numPr>
        <w:rPr>
          <w:b/>
        </w:rPr>
      </w:pPr>
      <w:r w:rsidRPr="007A58EE">
        <w:rPr>
          <w:b/>
        </w:rPr>
        <w:t xml:space="preserve">How many people </w:t>
      </w:r>
      <w:r w:rsidR="00495F39">
        <w:rPr>
          <w:b/>
        </w:rPr>
        <w:t>should</w:t>
      </w:r>
      <w:r w:rsidRPr="007A58EE">
        <w:rPr>
          <w:b/>
        </w:rPr>
        <w:t xml:space="preserve"> be involved in an intervention?</w:t>
      </w:r>
    </w:p>
    <w:p w:rsidR="007A58EE" w:rsidRDefault="007A58EE" w:rsidP="0031089C">
      <w:pPr>
        <w:ind w:left="720"/>
      </w:pPr>
      <w:r>
        <w:t xml:space="preserve">It really depends on the </w:t>
      </w:r>
      <w:r w:rsidR="00495F39">
        <w:t xml:space="preserve">nature of the </w:t>
      </w:r>
      <w:r>
        <w:t>project</w:t>
      </w:r>
      <w:r w:rsidR="00495F39">
        <w:t xml:space="preserve">. We currently have nine projects as part of the Alcohol Culture Change Initiative (ACCI) and each of these projects works with </w:t>
      </w:r>
      <w:r w:rsidR="00A1747C">
        <w:t>social worlds</w:t>
      </w:r>
      <w:r w:rsidR="00495F39">
        <w:t xml:space="preserve"> of varying sizes, but each project </w:t>
      </w:r>
      <w:r w:rsidR="00A1747C">
        <w:t xml:space="preserve">is </w:t>
      </w:r>
      <w:r w:rsidR="00495F39">
        <w:t xml:space="preserve">developing resources and creating messaging that aim to have a broader reach. </w:t>
      </w:r>
      <w:r>
        <w:t xml:space="preserve">It’s about making an assessment on the type of impact you want your intervention to have and how that’s best achieved. </w:t>
      </w:r>
    </w:p>
    <w:p w:rsidR="00556E8C" w:rsidRDefault="00556E8C" w:rsidP="007A58EE"/>
    <w:p w:rsidR="00495F39" w:rsidRPr="00556E8C" w:rsidRDefault="00495F39" w:rsidP="00495F39">
      <w:pPr>
        <w:ind w:left="720"/>
      </w:pPr>
      <w:r>
        <w:t>More information about current ACCI projects is available here:</w:t>
      </w:r>
      <w:r w:rsidRPr="00495F39">
        <w:t xml:space="preserve"> </w:t>
      </w:r>
      <w:hyperlink r:id="rId7" w:history="1">
        <w:r w:rsidRPr="00495F39">
          <w:rPr>
            <w:color w:val="0000FF"/>
            <w:u w:val="single"/>
          </w:rPr>
          <w:t>https://www.vichealth.vic.gov.au/programs-and-projects/alcohol-culture-change-initiative</w:t>
        </w:r>
      </w:hyperlink>
    </w:p>
    <w:sectPr w:rsidR="00495F39" w:rsidRPr="00556E8C" w:rsidSect="00D123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276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8EE" w:rsidRDefault="007A58EE" w:rsidP="00E709BF">
      <w:r>
        <w:separator/>
      </w:r>
    </w:p>
  </w:endnote>
  <w:endnote w:type="continuationSeparator" w:id="0">
    <w:p w:rsidR="007A58EE" w:rsidRDefault="007A58EE" w:rsidP="00E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B0" w:rsidRDefault="00D06FB0" w:rsidP="00D06FB0">
    <w:pPr>
      <w:pStyle w:val="Footer"/>
    </w:pPr>
    <w:r w:rsidRPr="007A58EE">
      <w:rPr>
        <w:b/>
      </w:rPr>
      <w:t>Men’s Risky Drinking Grants 2019</w:t>
    </w:r>
    <w:r>
      <w:t xml:space="preserve"> - Frequently Asked Questions </w:t>
    </w:r>
  </w:p>
  <w:p w:rsidR="00D06FB0" w:rsidRDefault="00D06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EE" w:rsidRDefault="007A58EE">
    <w:pPr>
      <w:pStyle w:val="Footer"/>
    </w:pPr>
    <w:r w:rsidRPr="007A58EE">
      <w:rPr>
        <w:b/>
        <w:noProof/>
        <w:lang w:eastAsia="en-AU"/>
      </w:rPr>
      <w:drawing>
        <wp:anchor distT="0" distB="0" distL="114300" distR="114300" simplePos="0" relativeHeight="251659264" behindDoc="1" locked="1" layoutInCell="1" allowOverlap="1" wp14:anchorId="017042D1" wp14:editId="4ABFED91">
          <wp:simplePos x="0" y="0"/>
          <wp:positionH relativeFrom="column">
            <wp:posOffset>4867275</wp:posOffset>
          </wp:positionH>
          <wp:positionV relativeFrom="page">
            <wp:posOffset>9942195</wp:posOffset>
          </wp:positionV>
          <wp:extent cx="1457960" cy="485775"/>
          <wp:effectExtent l="0" t="0" r="8890" b="9525"/>
          <wp:wrapNone/>
          <wp:docPr id="5" name="Picture 5" descr="\\vh2k\docs\M&amp;C\Admin\EM Office\Secure\Brand\Emery\Logos\Master Logos without TM\Brandmark\Jpeg + Png\VicHealth_Brandmark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h2k\docs\M&amp;C\Admin\EM Office\Secure\Brand\Emery\Logos\Master Logos without TM\Brandmark\Jpeg + Png\VicHealth_Brandmark_PO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8EE">
      <w:rPr>
        <w:b/>
      </w:rPr>
      <w:t>Men’s Risky Drinking Grants 2019</w:t>
    </w:r>
    <w:r>
      <w:t xml:space="preserve"> - Frequently Asked Questions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8EE" w:rsidRDefault="007A58EE" w:rsidP="00E709BF">
      <w:r>
        <w:separator/>
      </w:r>
    </w:p>
  </w:footnote>
  <w:footnote w:type="continuationSeparator" w:id="0">
    <w:p w:rsidR="007A58EE" w:rsidRDefault="007A58EE" w:rsidP="00E7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E8C" w:rsidRDefault="00556E8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618AA106" wp14:editId="1E505C44">
          <wp:simplePos x="0" y="0"/>
          <wp:positionH relativeFrom="column">
            <wp:posOffset>4937760</wp:posOffset>
          </wp:positionH>
          <wp:positionV relativeFrom="topMargin">
            <wp:posOffset>9996805</wp:posOffset>
          </wp:positionV>
          <wp:extent cx="1457960" cy="485775"/>
          <wp:effectExtent l="0" t="0" r="8890" b="9525"/>
          <wp:wrapNone/>
          <wp:docPr id="1" name="Picture 1" descr="\\vh2k\docs\M&amp;C\Admin\EM Office\Secure\Brand\Emery\Logos\Master Logos without TM\Brandmark\Jpeg + Png\VicHealth_Brandmark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h2k\docs\M&amp;C\Admin\EM Office\Secure\Brand\Emery\Logos\Master Logos without TM\Brandmark\Jpeg + Png\VicHealth_Brandmark_PO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75" w:rsidRDefault="00904175" w:rsidP="00E709BF">
    <w:pPr>
      <w:pStyle w:val="Header"/>
      <w:tabs>
        <w:tab w:val="clear" w:pos="4513"/>
        <w:tab w:val="clear" w:pos="9026"/>
        <w:tab w:val="left" w:pos="9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0A64"/>
    <w:multiLevelType w:val="hybridMultilevel"/>
    <w:tmpl w:val="7C7AB9EC"/>
    <w:lvl w:ilvl="0" w:tplc="434898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8596B"/>
    <w:multiLevelType w:val="hybridMultilevel"/>
    <w:tmpl w:val="59741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559A"/>
    <w:multiLevelType w:val="hybridMultilevel"/>
    <w:tmpl w:val="C61CC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E"/>
    <w:rsid w:val="000145B4"/>
    <w:rsid w:val="00072FA1"/>
    <w:rsid w:val="00095A65"/>
    <w:rsid w:val="000D0FEF"/>
    <w:rsid w:val="000F7518"/>
    <w:rsid w:val="00110B55"/>
    <w:rsid w:val="001248DD"/>
    <w:rsid w:val="001546DC"/>
    <w:rsid w:val="00214602"/>
    <w:rsid w:val="002455F0"/>
    <w:rsid w:val="00297A71"/>
    <w:rsid w:val="00297DF9"/>
    <w:rsid w:val="002E05AE"/>
    <w:rsid w:val="002F7F91"/>
    <w:rsid w:val="0031089C"/>
    <w:rsid w:val="00370D7D"/>
    <w:rsid w:val="00436CF3"/>
    <w:rsid w:val="00495F39"/>
    <w:rsid w:val="00525CAF"/>
    <w:rsid w:val="00543F23"/>
    <w:rsid w:val="00551892"/>
    <w:rsid w:val="00556E8C"/>
    <w:rsid w:val="005E782A"/>
    <w:rsid w:val="005E787F"/>
    <w:rsid w:val="00600D85"/>
    <w:rsid w:val="007A58EE"/>
    <w:rsid w:val="008317C6"/>
    <w:rsid w:val="00842752"/>
    <w:rsid w:val="008801ED"/>
    <w:rsid w:val="00904175"/>
    <w:rsid w:val="00966993"/>
    <w:rsid w:val="00A1747C"/>
    <w:rsid w:val="00A913B7"/>
    <w:rsid w:val="00AE49F3"/>
    <w:rsid w:val="00B1536D"/>
    <w:rsid w:val="00B53622"/>
    <w:rsid w:val="00BB6E16"/>
    <w:rsid w:val="00CC31DA"/>
    <w:rsid w:val="00D06FB0"/>
    <w:rsid w:val="00D1234A"/>
    <w:rsid w:val="00D237A0"/>
    <w:rsid w:val="00D762BA"/>
    <w:rsid w:val="00DD6397"/>
    <w:rsid w:val="00E32080"/>
    <w:rsid w:val="00E709BF"/>
    <w:rsid w:val="00EF613D"/>
    <w:rsid w:val="00FA7ADE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A17C5DF-D931-40EE-B81D-29397A43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6E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9BF"/>
  </w:style>
  <w:style w:type="paragraph" w:styleId="Footer">
    <w:name w:val="footer"/>
    <w:basedOn w:val="Normal"/>
    <w:link w:val="FooterChar"/>
    <w:uiPriority w:val="99"/>
    <w:unhideWhenUsed/>
    <w:rsid w:val="00E70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9BF"/>
  </w:style>
  <w:style w:type="paragraph" w:styleId="BalloonText">
    <w:name w:val="Balloon Text"/>
    <w:basedOn w:val="Normal"/>
    <w:link w:val="BalloonTextChar"/>
    <w:uiPriority w:val="99"/>
    <w:semiHidden/>
    <w:unhideWhenUsed/>
    <w:rsid w:val="00E7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B6E1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B6E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E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6E16"/>
    <w:rPr>
      <w:b/>
      <w:bCs/>
    </w:rPr>
  </w:style>
  <w:style w:type="character" w:styleId="Emphasis">
    <w:name w:val="Emphasis"/>
    <w:basedOn w:val="DefaultParagraphFont"/>
    <w:uiPriority w:val="20"/>
    <w:qFormat/>
    <w:rsid w:val="00BB6E16"/>
    <w:rPr>
      <w:i/>
      <w:iCs/>
    </w:rPr>
  </w:style>
  <w:style w:type="paragraph" w:customStyle="1" w:styleId="Caption1">
    <w:name w:val="Caption1"/>
    <w:basedOn w:val="Normal"/>
    <w:rsid w:val="00BB6E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aliases w:val="A - Report Title"/>
    <w:basedOn w:val="Normal"/>
    <w:next w:val="Normal"/>
    <w:link w:val="TitleChar"/>
    <w:uiPriority w:val="10"/>
    <w:qFormat/>
    <w:rsid w:val="008801ED"/>
    <w:pPr>
      <w:spacing w:after="120"/>
      <w:contextualSpacing/>
    </w:pPr>
    <w:rPr>
      <w:rFonts w:ascii="Calibri" w:eastAsiaTheme="majorEastAsia" w:hAnsi="Calibr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A - Report Title Char"/>
    <w:basedOn w:val="DefaultParagraphFont"/>
    <w:link w:val="Title"/>
    <w:uiPriority w:val="10"/>
    <w:rsid w:val="008801ED"/>
    <w:rPr>
      <w:rFonts w:ascii="Calibri" w:eastAsiaTheme="majorEastAsia" w:hAnsi="Calibri" w:cstheme="majorBidi"/>
      <w:b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88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EE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D7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chealth.vic.gov.au/programs-and-projects/alcohol-culture-change-initiat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h2k\apps\Template\VicHealth\A4%20page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page with logo.dotx</Template>
  <TotalTime>1</TotalTime>
  <Pages>2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 Health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turner</dc:creator>
  <cp:lastModifiedBy>Suzanne Dorfield</cp:lastModifiedBy>
  <cp:revision>2</cp:revision>
  <cp:lastPrinted>2014-11-17T23:20:00Z</cp:lastPrinted>
  <dcterms:created xsi:type="dcterms:W3CDTF">2019-03-26T02:50:00Z</dcterms:created>
  <dcterms:modified xsi:type="dcterms:W3CDTF">2019-03-26T02:50:00Z</dcterms:modified>
</cp:coreProperties>
</file>